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仿宋" w:hAnsi="仿宋" w:eastAsia="仿宋" w:cs="仿宋"/>
          <w:b w:val="0"/>
          <w:bCs w:val="0"/>
          <w:sz w:val="44"/>
          <w:szCs w:val="44"/>
          <w:lang w:val="en-US" w:eastAsia="zh-CN"/>
        </w:rPr>
      </w:pPr>
      <w:r>
        <w:rPr>
          <w:rFonts w:hint="eastAsia" w:ascii="仿宋" w:hAnsi="仿宋" w:eastAsia="仿宋" w:cs="仿宋"/>
          <w:sz w:val="44"/>
          <w:szCs w:val="44"/>
          <w:lang w:val="en-US" w:eastAsia="zh-CN"/>
        </w:rPr>
        <w:t>代理和投标人保证金操作手册</w:t>
      </w:r>
    </w:p>
    <w:p>
      <w:pPr>
        <w:pStyle w:val="4"/>
        <w:numPr>
          <w:numId w:val="0"/>
        </w:numPr>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一、代理操作手册</w:t>
      </w:r>
    </w:p>
    <w:p>
      <w:pPr>
        <w:numPr>
          <w:numId w:val="0"/>
        </w:numPr>
        <w:ind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1、项目注册</w:t>
      </w:r>
      <w:r>
        <w:rPr>
          <w:rFonts w:hint="eastAsia" w:ascii="仿宋" w:hAnsi="仿宋" w:eastAsia="仿宋" w:cs="仿宋"/>
          <w:sz w:val="32"/>
          <w:szCs w:val="32"/>
          <w:lang w:val="en-US" w:eastAsia="zh-CN"/>
        </w:rPr>
        <w:t>：</w:t>
      </w:r>
    </w:p>
    <w:p>
      <w:pPr>
        <w:numPr>
          <w:numId w:val="0"/>
        </w:numPr>
        <w:ind w:left="420" w:leftChars="0"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新增完标段后，要缴费前需要生成子账号。</w:t>
      </w:r>
    </w:p>
    <w:p>
      <w:pPr>
        <w:numPr>
          <w:numId w:val="0"/>
        </w:numPr>
        <w:ind w:firstLine="420" w:firstLineChars="0"/>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274310" cy="2282825"/>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2282825"/>
                    </a:xfrm>
                    <a:prstGeom prst="rect">
                      <a:avLst/>
                    </a:prstGeom>
                    <a:noFill/>
                    <a:ln w="9525">
                      <a:noFill/>
                    </a:ln>
                  </pic:spPr>
                </pic:pic>
              </a:graphicData>
            </a:graphic>
          </wp:inline>
        </w:drawing>
      </w:r>
    </w:p>
    <w:p>
      <w:pPr>
        <w:numPr>
          <w:numId w:val="0"/>
        </w:numPr>
        <w:ind w:left="420" w:leftChars="0"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点击生成子账号。</w:t>
      </w:r>
    </w:p>
    <w:p>
      <w:pPr>
        <w:numPr>
          <w:numId w:val="0"/>
        </w:numPr>
        <w:ind w:firstLine="420" w:firstLineChars="0"/>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274310" cy="2118995"/>
            <wp:effectExtent l="0" t="0" r="2540"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4310" cy="2118995"/>
                    </a:xfrm>
                    <a:prstGeom prst="rect">
                      <a:avLst/>
                    </a:prstGeom>
                    <a:noFill/>
                    <a:ln w="9525">
                      <a:noFill/>
                    </a:ln>
                  </pic:spPr>
                </pic:pic>
              </a:graphicData>
            </a:graphic>
          </wp:inline>
        </w:drawing>
      </w:r>
    </w:p>
    <w:p>
      <w:pPr>
        <w:numPr>
          <w:numId w:val="0"/>
        </w:numPr>
        <w:ind w:firstLine="420" w:firstLineChars="0"/>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274310" cy="2279015"/>
            <wp:effectExtent l="0" t="0" r="254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4310" cy="2279015"/>
                    </a:xfrm>
                    <a:prstGeom prst="rect">
                      <a:avLst/>
                    </a:prstGeom>
                    <a:noFill/>
                    <a:ln w="9525">
                      <a:noFill/>
                    </a:ln>
                  </pic:spPr>
                </pic:pic>
              </a:graphicData>
            </a:graphic>
          </wp:inline>
        </w:drawing>
      </w:r>
    </w:p>
    <w:p>
      <w:pPr>
        <w:numPr>
          <w:numId w:val="0"/>
        </w:numPr>
        <w:ind w:left="420" w:leftChars="0" w:firstLine="420" w:firstLineChars="0"/>
        <w:rPr>
          <w:rFonts w:hint="eastAsia" w:ascii="仿宋" w:hAnsi="仿宋" w:eastAsia="仿宋" w:cs="仿宋"/>
          <w:sz w:val="32"/>
          <w:szCs w:val="32"/>
          <w:lang w:val="en-US" w:eastAsia="zh-CN"/>
        </w:rPr>
      </w:pPr>
      <w:r>
        <w:rPr>
          <w:rFonts w:hint="eastAsia" w:ascii="仿宋" w:hAnsi="仿宋" w:eastAsia="仿宋" w:cs="仿宋"/>
          <w:color w:val="FF0000"/>
          <w:sz w:val="32"/>
          <w:szCs w:val="32"/>
          <w:lang w:val="en-US" w:eastAsia="zh-CN"/>
        </w:rPr>
        <w:t>注意：生成后的子账号位数为21位！</w:t>
      </w:r>
    </w:p>
    <w:p>
      <w:pPr>
        <w:numPr>
          <w:numId w:val="0"/>
        </w:numPr>
        <w:ind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2、招标公告：</w:t>
      </w:r>
    </w:p>
    <w:p>
      <w:pPr>
        <w:pStyle w:val="5"/>
        <w:keepNext w:val="0"/>
        <w:keepLines w:val="0"/>
        <w:widowControl/>
        <w:suppressLineNumbers w:val="0"/>
        <w:spacing w:before="0" w:beforeAutospacing="0" w:after="0" w:afterAutospacing="0" w:line="560" w:lineRule="atLeast"/>
        <w:ind w:left="420" w:leftChars="0" w:right="0" w:firstLine="420" w:firstLineChars="0"/>
        <w:jc w:val="both"/>
        <w:rPr>
          <w:rFonts w:hint="eastAsia" w:ascii="仿宋" w:hAnsi="仿宋" w:eastAsia="仿宋" w:cs="仿宋"/>
          <w:color w:val="auto"/>
          <w:sz w:val="32"/>
          <w:szCs w:val="32"/>
          <w:lang w:val="en-US" w:eastAsia="zh-CN"/>
        </w:rPr>
      </w:pPr>
      <w:r>
        <w:rPr>
          <w:rFonts w:ascii="仿宋" w:hAnsi="仿宋" w:eastAsia="仿宋" w:cs="仿宋"/>
          <w:sz w:val="32"/>
          <w:szCs w:val="32"/>
          <w:shd w:val="clear" w:fill="FFFFFF"/>
        </w:rPr>
        <w:t>启用的定西市公共资源交易平台投标保证金收退系统采用一标段一账号的缴纳方式，即每个标段都只有唯一的保证金账号</w:t>
      </w:r>
      <w:r>
        <w:rPr>
          <w:rFonts w:hint="eastAsia" w:ascii="仿宋" w:hAnsi="仿宋" w:eastAsia="仿宋" w:cs="仿宋"/>
          <w:sz w:val="32"/>
          <w:szCs w:val="32"/>
          <w:shd w:val="clear" w:fill="FFFFFF"/>
          <w:lang w:eastAsia="zh-CN"/>
        </w:rPr>
        <w:t>，</w:t>
      </w:r>
      <w:r>
        <w:rPr>
          <w:rFonts w:hint="eastAsia" w:ascii="仿宋" w:hAnsi="仿宋" w:eastAsia="仿宋" w:cs="仿宋"/>
          <w:color w:val="auto"/>
          <w:sz w:val="32"/>
          <w:szCs w:val="32"/>
          <w:shd w:val="clear" w:fill="FFFFFF"/>
          <w:lang w:val="en-US" w:eastAsia="zh-CN"/>
        </w:rPr>
        <w:t>需要代理在发布招标公告是写明每个标段对应的子账号。</w:t>
      </w:r>
    </w:p>
    <w:p>
      <w:pPr>
        <w:numPr>
          <w:numId w:val="0"/>
        </w:numPr>
        <w:ind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3、报名信息查看：</w:t>
      </w:r>
    </w:p>
    <w:p>
      <w:pPr>
        <w:numPr>
          <w:numId w:val="0"/>
        </w:numPr>
        <w:ind w:left="420" w:leftChars="0"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代理在开标前一小时，可以在报名信息查看处，查询保证金缴纳情况。</w:t>
      </w:r>
    </w:p>
    <w:p>
      <w:pPr>
        <w:numPr>
          <w:numId w:val="0"/>
        </w:numPr>
        <w:ind w:firstLine="420" w:firstLineChars="0"/>
      </w:pPr>
      <w:r>
        <w:drawing>
          <wp:inline distT="0" distB="0" distL="114300" distR="114300">
            <wp:extent cx="5264785" cy="2258695"/>
            <wp:effectExtent l="0" t="0" r="12065"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64785" cy="2258695"/>
                    </a:xfrm>
                    <a:prstGeom prst="rect">
                      <a:avLst/>
                    </a:prstGeom>
                    <a:noFill/>
                    <a:ln w="9525">
                      <a:noFill/>
                    </a:ln>
                  </pic:spPr>
                </pic:pic>
              </a:graphicData>
            </a:graphic>
          </wp:inline>
        </w:drawing>
      </w:r>
    </w:p>
    <w:p>
      <w:pPr>
        <w:numPr>
          <w:numId w:val="0"/>
        </w:numPr>
        <w:ind w:firstLine="420" w:firstLineChars="0"/>
        <w:rPr>
          <w:rFonts w:hint="eastAsia"/>
          <w:lang w:val="en-US" w:eastAsia="zh-CN"/>
        </w:rPr>
      </w:pPr>
      <w:r>
        <w:drawing>
          <wp:inline distT="0" distB="0" distL="114300" distR="114300">
            <wp:extent cx="5267325" cy="2265045"/>
            <wp:effectExtent l="0" t="0" r="9525"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67325" cy="2265045"/>
                    </a:xfrm>
                    <a:prstGeom prst="rect">
                      <a:avLst/>
                    </a:prstGeom>
                    <a:noFill/>
                    <a:ln w="9525">
                      <a:noFill/>
                    </a:ln>
                  </pic:spPr>
                </pic:pic>
              </a:graphicData>
            </a:graphic>
          </wp:inline>
        </w:drawing>
      </w:r>
    </w:p>
    <w:p>
      <w:pPr>
        <w:pStyle w:val="4"/>
        <w:numPr>
          <w:numId w:val="0"/>
        </w:numPr>
        <w:rPr>
          <w:rFonts w:hint="default" w:ascii="仿宋" w:hAnsi="仿宋" w:eastAsia="仿宋" w:cs="仿宋"/>
          <w:sz w:val="32"/>
          <w:szCs w:val="32"/>
          <w:bdr w:val="none" w:color="auto" w:sz="8" w:space="0"/>
          <w:shd w:val="clear" w:fill="FFFFFF"/>
        </w:rPr>
      </w:pPr>
      <w:r>
        <w:rPr>
          <w:rFonts w:hint="eastAsia" w:ascii="仿宋" w:hAnsi="仿宋" w:eastAsia="仿宋" w:cs="仿宋"/>
          <w:sz w:val="36"/>
          <w:szCs w:val="36"/>
          <w:lang w:val="en-US" w:eastAsia="zh-CN"/>
        </w:rPr>
        <w:t>二、投标人操作手册</w:t>
      </w:r>
    </w:p>
    <w:p>
      <w:pPr>
        <w:pStyle w:val="5"/>
        <w:keepNext w:val="0"/>
        <w:keepLines w:val="0"/>
        <w:widowControl/>
        <w:suppressLineNumbers w:val="0"/>
        <w:spacing w:before="0" w:beforeAutospacing="0" w:after="0" w:afterAutospacing="0" w:line="560" w:lineRule="atLeast"/>
        <w:ind w:right="0" w:firstLine="420" w:firstLineChars="0"/>
        <w:jc w:val="both"/>
        <w:rPr>
          <w:rFonts w:hint="default" w:ascii="Calibri" w:hAnsi="Calibri" w:cs="Calibri"/>
          <w:sz w:val="21"/>
          <w:szCs w:val="21"/>
        </w:rPr>
      </w:pPr>
      <w:r>
        <w:rPr>
          <w:rFonts w:hint="eastAsia" w:ascii="仿宋" w:hAnsi="仿宋" w:eastAsia="仿宋" w:cs="仿宋"/>
          <w:sz w:val="32"/>
          <w:szCs w:val="32"/>
          <w:bdr w:val="none" w:color="auto" w:sz="8" w:space="0"/>
          <w:shd w:val="clear" w:fill="FFFFFF"/>
          <w:lang w:val="en-US" w:eastAsia="zh-CN"/>
        </w:rPr>
        <w:t>1、</w:t>
      </w:r>
      <w:r>
        <w:rPr>
          <w:rFonts w:hint="eastAsia" w:ascii="仿宋" w:hAnsi="仿宋" w:eastAsia="仿宋" w:cs="仿宋"/>
          <w:sz w:val="32"/>
          <w:szCs w:val="32"/>
          <w:bdr w:val="none" w:color="auto" w:sz="8" w:space="0"/>
          <w:shd w:val="clear" w:fill="FFFFFF"/>
        </w:rPr>
        <w:t>先报名，后缴纳保证金；</w:t>
      </w:r>
    </w:p>
    <w:p>
      <w:pPr>
        <w:pStyle w:val="5"/>
        <w:keepNext w:val="0"/>
        <w:keepLines w:val="0"/>
        <w:widowControl/>
        <w:suppressLineNumbers w:val="0"/>
        <w:spacing w:before="0" w:beforeAutospacing="0" w:after="0" w:afterAutospacing="0" w:line="560" w:lineRule="atLeast"/>
        <w:ind w:right="0" w:firstLine="420" w:firstLineChars="0"/>
        <w:jc w:val="both"/>
        <w:rPr>
          <w:rFonts w:hint="default" w:ascii="Calibri" w:hAnsi="Calibri" w:cs="Calibri"/>
          <w:sz w:val="21"/>
          <w:szCs w:val="21"/>
        </w:rPr>
      </w:pPr>
      <w:r>
        <w:rPr>
          <w:rFonts w:hint="eastAsia" w:ascii="仿宋" w:hAnsi="仿宋" w:eastAsia="仿宋" w:cs="仿宋"/>
          <w:sz w:val="32"/>
          <w:szCs w:val="32"/>
          <w:bdr w:val="none" w:color="auto" w:sz="8" w:space="0"/>
          <w:shd w:val="clear" w:fill="FFFFFF"/>
          <w:lang w:val="en-US" w:eastAsia="zh-CN"/>
        </w:rPr>
        <w:t>2、</w:t>
      </w:r>
      <w:r>
        <w:rPr>
          <w:rFonts w:hint="eastAsia" w:ascii="仿宋" w:hAnsi="仿宋" w:eastAsia="仿宋" w:cs="仿宋"/>
          <w:sz w:val="32"/>
          <w:szCs w:val="32"/>
          <w:bdr w:val="none" w:color="auto" w:sz="8" w:space="0"/>
          <w:shd w:val="clear" w:fill="FFFFFF"/>
        </w:rPr>
        <w:t>严格按照招标文件或公告上所报名标段的保证金账号进行缴纳；</w:t>
      </w:r>
    </w:p>
    <w:p>
      <w:pPr>
        <w:pStyle w:val="5"/>
        <w:keepNext w:val="0"/>
        <w:keepLines w:val="0"/>
        <w:widowControl/>
        <w:suppressLineNumbers w:val="0"/>
        <w:spacing w:before="0" w:beforeAutospacing="0" w:after="0" w:afterAutospacing="0" w:line="560" w:lineRule="atLeast"/>
        <w:ind w:right="0" w:firstLine="420" w:firstLineChars="0"/>
        <w:jc w:val="both"/>
        <w:rPr>
          <w:rFonts w:hint="eastAsia" w:ascii="仿宋" w:hAnsi="仿宋" w:eastAsia="仿宋" w:cs="仿宋"/>
          <w:sz w:val="32"/>
          <w:szCs w:val="32"/>
        </w:rPr>
      </w:pPr>
      <w:r>
        <w:rPr>
          <w:rFonts w:hint="eastAsia" w:ascii="仿宋" w:hAnsi="仿宋" w:eastAsia="仿宋" w:cs="仿宋"/>
          <w:sz w:val="32"/>
          <w:szCs w:val="32"/>
          <w:bdr w:val="none" w:color="auto" w:sz="8" w:space="0"/>
          <w:shd w:val="clear" w:fill="FFFFFF"/>
          <w:lang w:val="en-US" w:eastAsia="zh-CN"/>
        </w:rPr>
        <w:t>3、</w:t>
      </w:r>
      <w:r>
        <w:rPr>
          <w:rFonts w:hint="eastAsia" w:ascii="仿宋" w:hAnsi="仿宋" w:eastAsia="仿宋" w:cs="仿宋"/>
          <w:sz w:val="32"/>
          <w:szCs w:val="32"/>
          <w:bdr w:val="none" w:color="auto" w:sz="8" w:space="0"/>
          <w:shd w:val="clear" w:fill="FFFFFF"/>
        </w:rPr>
        <w:t>缴纳保证金后需登录主体账号，在左侧</w:t>
      </w:r>
      <w:r>
        <w:rPr>
          <w:rFonts w:hint="eastAsia" w:ascii="仿宋" w:hAnsi="仿宋" w:eastAsia="仿宋" w:cs="仿宋"/>
          <w:sz w:val="32"/>
          <w:szCs w:val="32"/>
        </w:rPr>
        <w:t>业务管理栏下，点开查看保证金模块，找到所报名项目，点击入账明细查询，进入模块后再点击查询，网页刷新后保证金支付信息内容与缴费内容相符即为缴纳成功。</w:t>
      </w:r>
    </w:p>
    <w:p>
      <w:pPr>
        <w:pStyle w:val="5"/>
        <w:keepNext w:val="0"/>
        <w:keepLines w:val="0"/>
        <w:widowControl/>
        <w:suppressLineNumbers w:val="0"/>
        <w:spacing w:before="0" w:beforeAutospacing="0" w:after="0" w:afterAutospacing="0" w:line="560" w:lineRule="atLeast"/>
        <w:ind w:right="0" w:firstLine="420" w:firstLineChars="0"/>
        <w:jc w:val="both"/>
      </w:pPr>
      <w:r>
        <w:drawing>
          <wp:inline distT="0" distB="0" distL="114300" distR="114300">
            <wp:extent cx="5268595" cy="2005965"/>
            <wp:effectExtent l="0" t="0" r="8255" b="133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68595" cy="2005965"/>
                    </a:xfrm>
                    <a:prstGeom prst="rect">
                      <a:avLst/>
                    </a:prstGeom>
                    <a:noFill/>
                    <a:ln w="9525">
                      <a:noFill/>
                    </a:ln>
                  </pic:spPr>
                </pic:pic>
              </a:graphicData>
            </a:graphic>
          </wp:inline>
        </w:drawing>
      </w:r>
    </w:p>
    <w:p>
      <w:pPr>
        <w:pStyle w:val="5"/>
        <w:keepNext w:val="0"/>
        <w:keepLines w:val="0"/>
        <w:widowControl/>
        <w:suppressLineNumbers w:val="0"/>
        <w:spacing w:before="0" w:beforeAutospacing="0" w:after="0" w:afterAutospacing="0" w:line="560" w:lineRule="atLeast"/>
        <w:ind w:right="0" w:firstLine="420" w:firstLineChars="0"/>
        <w:jc w:val="both"/>
      </w:pPr>
      <w:r>
        <w:drawing>
          <wp:inline distT="0" distB="0" distL="114300" distR="114300">
            <wp:extent cx="5268595" cy="1855470"/>
            <wp:effectExtent l="0" t="0" r="8255" b="1143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5268595" cy="1855470"/>
                    </a:xfrm>
                    <a:prstGeom prst="rect">
                      <a:avLst/>
                    </a:prstGeom>
                    <a:noFill/>
                    <a:ln w="9525">
                      <a:noFill/>
                    </a:ln>
                  </pic:spPr>
                </pic:pic>
              </a:graphicData>
            </a:graphic>
          </wp:inline>
        </w:drawing>
      </w:r>
    </w:p>
    <w:p>
      <w:pPr>
        <w:pStyle w:val="5"/>
        <w:keepNext w:val="0"/>
        <w:keepLines w:val="0"/>
        <w:widowControl/>
        <w:suppressLineNumbers w:val="0"/>
        <w:spacing w:before="0" w:beforeAutospacing="0" w:after="0" w:afterAutospacing="0" w:line="560" w:lineRule="atLeast"/>
        <w:ind w:right="0" w:firstLine="420" w:firstLineChars="0"/>
        <w:jc w:val="both"/>
      </w:pPr>
      <w:r>
        <w:drawing>
          <wp:inline distT="0" distB="0" distL="114300" distR="114300">
            <wp:extent cx="5268595" cy="2242820"/>
            <wp:effectExtent l="0" t="0" r="8255" b="50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5268595" cy="2242820"/>
                    </a:xfrm>
                    <a:prstGeom prst="rect">
                      <a:avLst/>
                    </a:prstGeom>
                    <a:noFill/>
                    <a:ln w="9525">
                      <a:noFill/>
                    </a:ln>
                  </pic:spPr>
                </pic:pic>
              </a:graphicData>
            </a:graphic>
          </wp:inline>
        </w:drawing>
      </w:r>
    </w:p>
    <w:p>
      <w:pPr>
        <w:pStyle w:val="5"/>
        <w:keepNext w:val="0"/>
        <w:keepLines w:val="0"/>
        <w:widowControl/>
        <w:numPr>
          <w:ilvl w:val="0"/>
          <w:numId w:val="1"/>
        </w:numPr>
        <w:suppressLineNumbers w:val="0"/>
        <w:spacing w:before="0" w:beforeAutospacing="0" w:after="0" w:afterAutospacing="0" w:line="560" w:lineRule="atLeast"/>
        <w:ind w:right="0" w:firstLine="420" w:firstLineChars="0"/>
        <w:jc w:val="both"/>
        <w:rPr>
          <w:rFonts w:hint="eastAsia" w:ascii="仿宋" w:hAnsi="仿宋" w:eastAsia="仿宋" w:cs="仿宋"/>
          <w:sz w:val="32"/>
          <w:szCs w:val="32"/>
          <w:shd w:val="clear" w:fill="FFFFFF"/>
          <w:lang w:val="en-US" w:eastAsia="zh-CN"/>
        </w:rPr>
      </w:pPr>
      <w:r>
        <w:rPr>
          <w:rFonts w:hint="eastAsia" w:ascii="仿宋" w:hAnsi="仿宋" w:eastAsia="仿宋" w:cs="仿宋"/>
          <w:sz w:val="32"/>
          <w:szCs w:val="32"/>
          <w:shd w:val="clear" w:fill="FFFFFF"/>
          <w:lang w:val="en-US" w:eastAsia="zh-CN"/>
        </w:rPr>
        <w:t>系统如何判断投标人缴纳保证金成功？</w:t>
      </w:r>
    </w:p>
    <w:p>
      <w:pPr>
        <w:pStyle w:val="5"/>
        <w:keepNext w:val="0"/>
        <w:keepLines w:val="0"/>
        <w:widowControl/>
        <w:numPr>
          <w:ilvl w:val="0"/>
          <w:numId w:val="2"/>
        </w:numPr>
        <w:suppressLineNumbers w:val="0"/>
        <w:spacing w:before="0" w:beforeAutospacing="0" w:after="0" w:afterAutospacing="0" w:line="560" w:lineRule="atLeast"/>
        <w:ind w:left="420" w:leftChars="0" w:right="0" w:rightChars="0" w:firstLine="420" w:firstLineChars="0"/>
        <w:jc w:val="both"/>
        <w:rPr>
          <w:rFonts w:hint="eastAsia" w:ascii="仿宋" w:hAnsi="仿宋" w:eastAsia="仿宋" w:cs="仿宋"/>
          <w:sz w:val="32"/>
          <w:szCs w:val="32"/>
          <w:shd w:val="clear" w:fill="FFFFFF"/>
          <w:lang w:val="en-US" w:eastAsia="zh-CN"/>
        </w:rPr>
      </w:pPr>
      <w:r>
        <w:rPr>
          <w:rFonts w:hint="eastAsia" w:ascii="仿宋" w:hAnsi="仿宋" w:eastAsia="仿宋" w:cs="仿宋"/>
          <w:sz w:val="32"/>
          <w:szCs w:val="32"/>
          <w:shd w:val="clear" w:fill="FFFFFF"/>
          <w:lang w:val="en-US" w:eastAsia="zh-CN"/>
        </w:rPr>
        <w:t>缴纳账号户名和单位名一致。</w:t>
      </w:r>
    </w:p>
    <w:p>
      <w:pPr>
        <w:pStyle w:val="5"/>
        <w:keepNext w:val="0"/>
        <w:keepLines w:val="0"/>
        <w:widowControl/>
        <w:numPr>
          <w:ilvl w:val="0"/>
          <w:numId w:val="2"/>
        </w:numPr>
        <w:suppressLineNumbers w:val="0"/>
        <w:spacing w:before="0" w:beforeAutospacing="0" w:after="0" w:afterAutospacing="0" w:line="560" w:lineRule="atLeast"/>
        <w:ind w:left="420" w:leftChars="0" w:right="0" w:rightChars="0" w:firstLine="420" w:firstLineChars="0"/>
        <w:jc w:val="both"/>
        <w:rPr>
          <w:rFonts w:hint="eastAsia" w:ascii="仿宋" w:hAnsi="仿宋" w:eastAsia="仿宋" w:cs="仿宋"/>
          <w:sz w:val="32"/>
          <w:szCs w:val="32"/>
          <w:shd w:val="clear" w:fill="FFFFFF"/>
          <w:lang w:val="en-US" w:eastAsia="zh-CN"/>
        </w:rPr>
      </w:pPr>
      <w:r>
        <w:rPr>
          <w:rFonts w:hint="eastAsia" w:ascii="仿宋" w:hAnsi="仿宋" w:eastAsia="仿宋" w:cs="仿宋"/>
          <w:sz w:val="32"/>
          <w:szCs w:val="32"/>
          <w:shd w:val="clear" w:fill="FFFFFF"/>
          <w:lang w:val="en-US" w:eastAsia="zh-CN"/>
        </w:rPr>
        <w:t>足额缴纳保证金，保证金累计到账金额=保证金应缴纳金额。</w:t>
      </w:r>
    </w:p>
    <w:p>
      <w:pPr>
        <w:pStyle w:val="5"/>
        <w:keepNext w:val="0"/>
        <w:keepLines w:val="0"/>
        <w:widowControl/>
        <w:numPr>
          <w:ilvl w:val="0"/>
          <w:numId w:val="2"/>
        </w:numPr>
        <w:suppressLineNumbers w:val="0"/>
        <w:spacing w:before="0" w:beforeAutospacing="0" w:after="0" w:afterAutospacing="0" w:line="560" w:lineRule="atLeast"/>
        <w:ind w:left="420" w:leftChars="0" w:right="0" w:rightChars="0" w:firstLine="420" w:firstLineChars="0"/>
        <w:jc w:val="both"/>
        <w:rPr>
          <w:rFonts w:hint="eastAsia" w:ascii="仿宋" w:hAnsi="仿宋" w:eastAsia="仿宋" w:cs="仿宋"/>
          <w:sz w:val="32"/>
          <w:szCs w:val="32"/>
          <w:shd w:val="clear" w:fill="FFFFFF"/>
          <w:lang w:val="en-US" w:eastAsia="zh-CN"/>
        </w:rPr>
      </w:pPr>
      <w:r>
        <w:rPr>
          <w:rFonts w:hint="eastAsia" w:ascii="仿宋" w:hAnsi="仿宋" w:eastAsia="仿宋" w:cs="仿宋"/>
          <w:sz w:val="32"/>
          <w:szCs w:val="32"/>
          <w:shd w:val="clear" w:fill="FFFFFF"/>
          <w:lang w:val="en-US" w:eastAsia="zh-CN"/>
        </w:rPr>
        <w:t>所缴纳保证金在开标时间前到账。</w:t>
      </w:r>
    </w:p>
    <w:p>
      <w:pPr>
        <w:pStyle w:val="4"/>
        <w:numPr>
          <w:ilvl w:val="0"/>
          <w:numId w:val="3"/>
        </w:numPr>
        <w:rPr>
          <w:rFonts w:hint="eastAsia"/>
          <w:lang w:val="en-US" w:eastAsia="zh-CN"/>
        </w:rPr>
      </w:pPr>
      <w:r>
        <w:rPr>
          <w:rFonts w:hint="eastAsia" w:ascii="仿宋" w:hAnsi="仿宋" w:eastAsia="仿宋" w:cs="仿宋"/>
          <w:sz w:val="36"/>
          <w:szCs w:val="36"/>
          <w:lang w:val="en-US" w:eastAsia="zh-CN"/>
        </w:rPr>
        <w:t>异常情况</w:t>
      </w:r>
    </w:p>
    <w:p>
      <w:pPr>
        <w:pStyle w:val="5"/>
        <w:keepNext w:val="0"/>
        <w:keepLines w:val="0"/>
        <w:widowControl/>
        <w:numPr>
          <w:numId w:val="0"/>
        </w:numPr>
        <w:suppressLineNumbers w:val="0"/>
        <w:spacing w:before="0" w:beforeAutospacing="0" w:after="0" w:afterAutospacing="0" w:line="560" w:lineRule="atLeast"/>
        <w:ind w:right="0" w:rightChars="0" w:firstLine="420" w:firstLineChars="0"/>
        <w:jc w:val="both"/>
        <w:rPr>
          <w:rFonts w:hint="eastAsia" w:ascii="仿宋" w:hAnsi="仿宋" w:eastAsia="仿宋" w:cs="仿宋"/>
          <w:sz w:val="32"/>
          <w:szCs w:val="32"/>
          <w:shd w:val="clear" w:fill="FFFFFF"/>
          <w:lang w:val="en-US" w:eastAsia="zh-CN"/>
        </w:rPr>
      </w:pPr>
      <w:r>
        <w:rPr>
          <w:rFonts w:hint="eastAsia" w:ascii="仿宋" w:hAnsi="仿宋" w:eastAsia="仿宋" w:cs="仿宋"/>
          <w:sz w:val="32"/>
          <w:szCs w:val="32"/>
          <w:shd w:val="clear" w:fill="FFFFFF"/>
          <w:lang w:val="en-US" w:eastAsia="zh-CN"/>
        </w:rPr>
        <w:t>1、代理走了异常：重新招标或者变更采购方式，系统会复制标段，需要代理到项目注册重新生成子账号。</w:t>
      </w:r>
    </w:p>
    <w:p>
      <w:pPr>
        <w:pStyle w:val="5"/>
        <w:keepNext w:val="0"/>
        <w:keepLines w:val="0"/>
        <w:widowControl/>
        <w:numPr>
          <w:numId w:val="0"/>
        </w:numPr>
        <w:suppressLineNumbers w:val="0"/>
        <w:spacing w:before="0" w:beforeAutospacing="0" w:after="0" w:afterAutospacing="0" w:line="560" w:lineRule="atLeast"/>
        <w:ind w:right="0" w:rightChars="0" w:firstLine="420" w:firstLineChars="0"/>
        <w:jc w:val="both"/>
        <w:rPr>
          <w:rFonts w:hint="eastAsia" w:ascii="仿宋" w:hAnsi="仿宋" w:eastAsia="仿宋" w:cs="仿宋"/>
          <w:sz w:val="32"/>
          <w:szCs w:val="32"/>
          <w:shd w:val="clear" w:fill="FFFFFF"/>
          <w:lang w:val="en-US" w:eastAsia="zh-CN"/>
        </w:rPr>
      </w:pPr>
      <w:r>
        <w:rPr>
          <w:rFonts w:hint="eastAsia" w:ascii="仿宋" w:hAnsi="仿宋" w:eastAsia="仿宋" w:cs="仿宋"/>
          <w:sz w:val="32"/>
          <w:szCs w:val="32"/>
          <w:shd w:val="clear" w:fill="FFFFFF"/>
          <w:lang w:val="en-US" w:eastAsia="zh-CN"/>
        </w:rPr>
        <w:t>例如：走了两次重新招标，复制两个标段。</w:t>
      </w:r>
    </w:p>
    <w:p>
      <w:pPr>
        <w:numPr>
          <w:numId w:val="0"/>
        </w:numPr>
        <w:ind w:firstLine="420" w:firstLineChars="0"/>
        <w:rPr>
          <w:rFonts w:hint="eastAsia" w:ascii="仿宋" w:hAnsi="仿宋" w:eastAsia="仿宋" w:cs="仿宋"/>
          <w:sz w:val="36"/>
          <w:szCs w:val="36"/>
          <w:lang w:val="en-US" w:eastAsia="zh-CN"/>
        </w:rPr>
      </w:pPr>
      <w:r>
        <w:drawing>
          <wp:inline distT="0" distB="0" distL="114300" distR="114300">
            <wp:extent cx="5268595" cy="1875155"/>
            <wp:effectExtent l="0" t="0" r="8255" b="1079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5268595" cy="1875155"/>
                    </a:xfrm>
                    <a:prstGeom prst="rect">
                      <a:avLst/>
                    </a:prstGeom>
                    <a:noFill/>
                    <a:ln w="9525">
                      <a:noFill/>
                    </a:ln>
                  </pic:spPr>
                </pic:pic>
              </a:graphicData>
            </a:graphic>
          </wp:inline>
        </w:drawing>
      </w:r>
    </w:p>
    <w:p>
      <w:pPr>
        <w:pStyle w:val="5"/>
        <w:ind w:firstLine="420" w:firstLineChars="0"/>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注意：1的保证金子账号为21位，是最初标段已经生成过子账号，2的保证金子账号为15位，表明尚未对复制标段生成子账号。</w:t>
      </w:r>
    </w:p>
    <w:p>
      <w:pPr>
        <w:pStyle w:val="5"/>
        <w:ind w:firstLine="420" w:firstLineChars="0"/>
      </w:pPr>
      <w:r>
        <w:drawing>
          <wp:inline distT="0" distB="0" distL="114300" distR="114300">
            <wp:extent cx="5270500" cy="2273300"/>
            <wp:effectExtent l="0" t="0" r="6350" b="1270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a:stretch>
                      <a:fillRect/>
                    </a:stretch>
                  </pic:blipFill>
                  <pic:spPr>
                    <a:xfrm>
                      <a:off x="0" y="0"/>
                      <a:ext cx="5270500" cy="2273300"/>
                    </a:xfrm>
                    <a:prstGeom prst="rect">
                      <a:avLst/>
                    </a:prstGeom>
                    <a:noFill/>
                    <a:ln w="9525">
                      <a:noFill/>
                    </a:ln>
                  </pic:spPr>
                </pic:pic>
              </a:graphicData>
            </a:graphic>
          </wp:inline>
        </w:drawing>
      </w:r>
    </w:p>
    <w:p>
      <w:pPr>
        <w:pStyle w:val="5"/>
        <w:ind w:firstLine="420" w:firstLine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点击生成子账号后，注意保证金子账号位数变化。</w:t>
      </w:r>
    </w:p>
    <w:p>
      <w:pPr>
        <w:pStyle w:val="5"/>
        <w:ind w:firstLine="420" w:firstLineChars="0"/>
      </w:pPr>
      <w:r>
        <w:drawing>
          <wp:inline distT="0" distB="0" distL="114300" distR="114300">
            <wp:extent cx="5269865" cy="2095500"/>
            <wp:effectExtent l="0" t="0" r="698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4"/>
                    <a:stretch>
                      <a:fillRect/>
                    </a:stretch>
                  </pic:blipFill>
                  <pic:spPr>
                    <a:xfrm>
                      <a:off x="0" y="0"/>
                      <a:ext cx="5269865" cy="2095500"/>
                    </a:xfrm>
                    <a:prstGeom prst="rect">
                      <a:avLst/>
                    </a:prstGeom>
                    <a:noFill/>
                    <a:ln w="9525">
                      <a:noFill/>
                    </a:ln>
                  </pic:spPr>
                </pic:pic>
              </a:graphicData>
            </a:graphic>
          </wp:inline>
        </w:drawing>
      </w:r>
    </w:p>
    <w:p>
      <w:pPr>
        <w:pStyle w:val="5"/>
        <w:ind w:firstLine="420" w:firstLineChars="0"/>
      </w:pPr>
      <w:r>
        <w:drawing>
          <wp:inline distT="0" distB="0" distL="114300" distR="114300">
            <wp:extent cx="5262245" cy="2255520"/>
            <wp:effectExtent l="0" t="0" r="14605" b="1143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5"/>
                    <a:stretch>
                      <a:fillRect/>
                    </a:stretch>
                  </pic:blipFill>
                  <pic:spPr>
                    <a:xfrm>
                      <a:off x="0" y="0"/>
                      <a:ext cx="5262245" cy="2255520"/>
                    </a:xfrm>
                    <a:prstGeom prst="rect">
                      <a:avLst/>
                    </a:prstGeom>
                    <a:noFill/>
                    <a:ln w="9525">
                      <a:noFill/>
                    </a:ln>
                  </pic:spPr>
                </pic:pic>
              </a:graphicData>
            </a:graphic>
          </wp:inline>
        </w:drawing>
      </w:r>
    </w:p>
    <w:p>
      <w:pPr>
        <w:pStyle w:val="5"/>
        <w:ind w:left="420" w:leftChars="0" w:firstLine="420" w:firstLine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2、在重新发布招标公告时，写入新的保证金</w:t>
      </w:r>
      <w:bookmarkStart w:id="0" w:name="_GoBack"/>
      <w:bookmarkEnd w:id="0"/>
      <w:r>
        <w:rPr>
          <w:rFonts w:hint="eastAsia" w:ascii="仿宋" w:hAnsi="仿宋" w:eastAsia="仿宋" w:cs="仿宋"/>
          <w:sz w:val="32"/>
          <w:szCs w:val="32"/>
          <w:lang w:val="en-US" w:eastAsia="zh-CN"/>
        </w:rPr>
        <w:t>子账号。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6AB10"/>
    <w:multiLevelType w:val="singleLevel"/>
    <w:tmpl w:val="5AD6AB10"/>
    <w:lvl w:ilvl="0" w:tentative="0">
      <w:start w:val="3"/>
      <w:numFmt w:val="chineseCounting"/>
      <w:suff w:val="nothing"/>
      <w:lvlText w:val="%1、"/>
      <w:lvlJc w:val="left"/>
    </w:lvl>
  </w:abstractNum>
  <w:abstractNum w:abstractNumId="1">
    <w:nsid w:val="5AD6ACBD"/>
    <w:multiLevelType w:val="singleLevel"/>
    <w:tmpl w:val="5AD6ACBD"/>
    <w:lvl w:ilvl="0" w:tentative="0">
      <w:start w:val="4"/>
      <w:numFmt w:val="decimal"/>
      <w:suff w:val="nothing"/>
      <w:lvlText w:val="%1、"/>
      <w:lvlJc w:val="left"/>
    </w:lvl>
  </w:abstractNum>
  <w:abstractNum w:abstractNumId="2">
    <w:nsid w:val="5AD6ACFD"/>
    <w:multiLevelType w:val="singleLevel"/>
    <w:tmpl w:val="5AD6ACF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8C6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Alex</dc:creator>
  <cp:lastModifiedBy>NTKO</cp:lastModifiedBy>
  <dcterms:modified xsi:type="dcterms:W3CDTF">2018-04-18T02:39:18Z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