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AF5946">
      <w:pPr>
        <w:spacing w:before="100" w:beforeLines="0" w:after="100" w:afterLines="0"/>
        <w:jc w:val="center"/>
        <w:rPr>
          <w:rFonts w:hint="eastAsia" w:ascii="宋体" w:hAnsi="宋体"/>
          <w:sz w:val="24"/>
          <w:szCs w:val="24"/>
          <w:lang w:val="zh-CN"/>
        </w:rPr>
      </w:pPr>
    </w:p>
    <w:p w14:paraId="028AD682">
      <w:pPr>
        <w:spacing w:before="100" w:beforeLines="0" w:after="100" w:afterLines="0"/>
        <w:jc w:val="center"/>
        <w:rPr>
          <w:rFonts w:hint="eastAsia" w:ascii="宋体" w:hAnsi="宋体"/>
          <w:sz w:val="24"/>
          <w:szCs w:val="24"/>
          <w:lang w:val="zh-CN"/>
        </w:rPr>
      </w:pPr>
    </w:p>
    <w:p w14:paraId="1D1E5102">
      <w:pPr>
        <w:spacing w:before="100" w:beforeLines="0" w:after="100" w:afterLines="0"/>
        <w:jc w:val="center"/>
        <w:rPr>
          <w:rFonts w:hint="eastAsia" w:ascii="宋体" w:hAnsi="宋体"/>
          <w:sz w:val="24"/>
          <w:szCs w:val="24"/>
          <w:lang w:val="zh-CN"/>
        </w:rPr>
      </w:pPr>
    </w:p>
    <w:p w14:paraId="4B02FABF">
      <w:pPr>
        <w:spacing w:before="100" w:beforeLines="0" w:after="100" w:afterLines="0"/>
        <w:jc w:val="center"/>
        <w:rPr>
          <w:rFonts w:hint="eastAsia" w:ascii="宋体" w:hAnsi="宋体"/>
          <w:sz w:val="24"/>
          <w:szCs w:val="24"/>
          <w:lang w:val="zh-CN"/>
        </w:rPr>
      </w:pPr>
    </w:p>
    <w:p w14:paraId="70DA2A0C">
      <w:pPr>
        <w:spacing w:before="100" w:beforeLines="0" w:after="100" w:afterLines="0"/>
        <w:jc w:val="center"/>
        <w:rPr>
          <w:rFonts w:hint="eastAsia" w:ascii="宋体" w:hAnsi="宋体"/>
          <w:sz w:val="24"/>
          <w:szCs w:val="24"/>
          <w:lang w:val="zh-CN"/>
        </w:rPr>
      </w:pPr>
    </w:p>
    <w:p w14:paraId="2741F0FC">
      <w:pPr>
        <w:spacing w:before="100" w:beforeLines="0" w:after="100" w:afterLines="0"/>
        <w:jc w:val="center"/>
        <w:rPr>
          <w:rFonts w:hint="eastAsia" w:ascii="宋体" w:hAnsi="宋体"/>
          <w:sz w:val="24"/>
          <w:szCs w:val="24"/>
          <w:lang w:val="zh-CN"/>
        </w:rPr>
      </w:pPr>
    </w:p>
    <w:p w14:paraId="21F3E322">
      <w:pPr>
        <w:spacing w:before="100" w:beforeLines="0" w:after="100" w:afterLines="0"/>
        <w:jc w:val="center"/>
        <w:rPr>
          <w:rFonts w:hint="eastAsia" w:ascii="宋体" w:hAnsi="宋体"/>
          <w:sz w:val="24"/>
          <w:szCs w:val="24"/>
          <w:lang w:val="zh-CN"/>
        </w:rPr>
      </w:pPr>
    </w:p>
    <w:p w14:paraId="1F2BB19C">
      <w:pPr>
        <w:spacing w:before="100" w:beforeLines="0" w:after="100" w:afterLines="0"/>
        <w:jc w:val="center"/>
        <w:rPr>
          <w:rFonts w:hint="eastAsia" w:ascii="宋体" w:hAnsi="宋体"/>
          <w:sz w:val="24"/>
          <w:szCs w:val="24"/>
          <w:lang w:val="zh-CN"/>
        </w:rPr>
      </w:pPr>
    </w:p>
    <w:p w14:paraId="04F6FB69">
      <w:pPr>
        <w:spacing w:before="100" w:beforeLines="0" w:after="100" w:afterLines="0"/>
        <w:jc w:val="center"/>
        <w:rPr>
          <w:rFonts w:hint="eastAsia" w:ascii="宋体" w:hAnsi="宋体"/>
          <w:sz w:val="24"/>
          <w:szCs w:val="24"/>
          <w:lang w:val="zh-CN"/>
        </w:rPr>
      </w:pPr>
    </w:p>
    <w:p w14:paraId="1B6977C5">
      <w:pPr>
        <w:spacing w:before="100" w:beforeLines="0" w:after="100" w:afterLines="0"/>
        <w:jc w:val="center"/>
        <w:rPr>
          <w:rFonts w:hint="eastAsia" w:ascii="宋体" w:hAnsi="宋体"/>
          <w:sz w:val="24"/>
          <w:szCs w:val="24"/>
          <w:lang w:val="zh-CN"/>
        </w:rPr>
      </w:pPr>
    </w:p>
    <w:p w14:paraId="3337255D">
      <w:pPr>
        <w:spacing w:before="100" w:beforeLines="0" w:after="100" w:afterLines="0"/>
        <w:jc w:val="center"/>
        <w:rPr>
          <w:rFonts w:hint="eastAsia" w:ascii="宋体" w:hAnsi="宋体"/>
          <w:sz w:val="24"/>
          <w:szCs w:val="24"/>
          <w:lang w:val="zh-CN"/>
        </w:rPr>
      </w:pPr>
    </w:p>
    <w:p w14:paraId="39309594">
      <w:pPr>
        <w:spacing w:before="100" w:beforeLines="0" w:after="100" w:afterLines="0"/>
        <w:jc w:val="center"/>
        <w:rPr>
          <w:rFonts w:hint="default" w:asciiTheme="majorAscii" w:hAnsiTheme="majorAscii"/>
          <w:sz w:val="44"/>
          <w:szCs w:val="44"/>
          <w:lang w:val="zh-CN"/>
        </w:rPr>
      </w:pPr>
    </w:p>
    <w:p w14:paraId="4DDDAD89">
      <w:pPr>
        <w:spacing w:before="100" w:beforeLines="0" w:after="100" w:afterLines="0"/>
        <w:jc w:val="center"/>
        <w:rPr>
          <w:rFonts w:hint="default" w:asciiTheme="majorAscii" w:hAnsiTheme="majorAscii"/>
          <w:sz w:val="44"/>
          <w:szCs w:val="44"/>
          <w:lang w:val="zh-CN"/>
        </w:rPr>
      </w:pPr>
      <w:r>
        <w:rPr>
          <w:rFonts w:hint="default" w:asciiTheme="majorAscii" w:hAnsiTheme="majorAscii"/>
          <w:sz w:val="44"/>
          <w:szCs w:val="44"/>
          <w:lang w:val="zh-CN"/>
        </w:rPr>
        <w:t>2022年度</w:t>
      </w:r>
    </w:p>
    <w:p w14:paraId="60ACB798">
      <w:pPr>
        <w:spacing w:before="100" w:beforeLines="0" w:after="100" w:afterLines="0"/>
        <w:jc w:val="center"/>
        <w:rPr>
          <w:rFonts w:hint="default" w:asciiTheme="majorAscii" w:hAnsiTheme="majorAscii"/>
          <w:sz w:val="44"/>
          <w:szCs w:val="44"/>
          <w:lang w:val="zh-CN"/>
        </w:rPr>
      </w:pPr>
      <w:r>
        <w:rPr>
          <w:rFonts w:hint="default" w:asciiTheme="majorAscii" w:hAnsiTheme="majorAscii"/>
          <w:sz w:val="44"/>
          <w:szCs w:val="44"/>
          <w:lang w:val="zh-CN"/>
        </w:rPr>
        <w:t>定西市公共资源交易中心部门决算</w:t>
      </w:r>
    </w:p>
    <w:p w14:paraId="28519DC2">
      <w:pPr>
        <w:spacing w:before="100" w:beforeLines="0" w:after="100" w:afterLines="0"/>
        <w:jc w:val="center"/>
        <w:rPr>
          <w:rFonts w:hint="default" w:asciiTheme="majorAscii" w:hAnsiTheme="majorAscii"/>
          <w:sz w:val="44"/>
          <w:szCs w:val="44"/>
          <w:lang w:val="zh-CN"/>
        </w:rPr>
      </w:pPr>
    </w:p>
    <w:p w14:paraId="038BBB36">
      <w:pPr>
        <w:spacing w:before="100" w:beforeLines="0" w:after="100" w:afterLines="0"/>
        <w:jc w:val="center"/>
        <w:rPr>
          <w:rFonts w:hint="eastAsia" w:ascii="宋体" w:hAnsi="宋体"/>
          <w:sz w:val="24"/>
          <w:szCs w:val="24"/>
          <w:lang w:val="zh-CN"/>
        </w:rPr>
      </w:pPr>
    </w:p>
    <w:p w14:paraId="4655FEA6">
      <w:pPr>
        <w:spacing w:before="100" w:beforeLines="0" w:after="100" w:afterLines="0"/>
        <w:jc w:val="center"/>
        <w:rPr>
          <w:rFonts w:hint="eastAsia" w:ascii="宋体" w:hAnsi="宋体"/>
          <w:sz w:val="24"/>
          <w:szCs w:val="24"/>
          <w:lang w:val="zh-CN"/>
        </w:rPr>
      </w:pPr>
    </w:p>
    <w:p w14:paraId="53F60D63">
      <w:pPr>
        <w:spacing w:before="100" w:beforeLines="0" w:after="100" w:afterLines="0"/>
        <w:jc w:val="center"/>
        <w:rPr>
          <w:rFonts w:hint="eastAsia" w:ascii="宋体" w:hAnsi="宋体"/>
          <w:sz w:val="24"/>
          <w:szCs w:val="24"/>
          <w:lang w:val="zh-CN"/>
        </w:rPr>
      </w:pPr>
    </w:p>
    <w:p w14:paraId="1F9FE669">
      <w:pPr>
        <w:spacing w:before="100" w:beforeLines="0" w:after="100" w:afterLines="0"/>
        <w:jc w:val="center"/>
        <w:rPr>
          <w:rFonts w:hint="eastAsia" w:ascii="宋体" w:hAnsi="宋体"/>
          <w:sz w:val="24"/>
          <w:szCs w:val="24"/>
          <w:lang w:val="zh-CN"/>
        </w:rPr>
      </w:pPr>
    </w:p>
    <w:p w14:paraId="4C689DD5">
      <w:pPr>
        <w:spacing w:before="100" w:beforeLines="0" w:after="100" w:afterLines="0"/>
        <w:jc w:val="center"/>
        <w:rPr>
          <w:rFonts w:hint="eastAsia" w:ascii="宋体" w:hAnsi="宋体"/>
          <w:sz w:val="24"/>
          <w:szCs w:val="24"/>
          <w:lang w:val="zh-CN"/>
        </w:rPr>
      </w:pPr>
    </w:p>
    <w:p w14:paraId="531A682D">
      <w:pPr>
        <w:spacing w:before="100" w:beforeLines="0" w:after="100" w:afterLines="0"/>
        <w:jc w:val="center"/>
        <w:rPr>
          <w:rFonts w:hint="eastAsia" w:ascii="宋体" w:hAnsi="宋体"/>
          <w:sz w:val="24"/>
          <w:szCs w:val="24"/>
          <w:lang w:val="zh-CN"/>
        </w:rPr>
      </w:pPr>
    </w:p>
    <w:p w14:paraId="6540D428">
      <w:pPr>
        <w:spacing w:before="100" w:beforeLines="0" w:after="100" w:afterLines="0"/>
        <w:jc w:val="center"/>
        <w:rPr>
          <w:rFonts w:hint="eastAsia" w:ascii="宋体" w:hAnsi="宋体"/>
          <w:sz w:val="24"/>
          <w:szCs w:val="24"/>
          <w:lang w:val="zh-CN"/>
        </w:rPr>
      </w:pPr>
    </w:p>
    <w:p w14:paraId="0B676D23">
      <w:pPr>
        <w:spacing w:before="100" w:beforeLines="0" w:after="100" w:afterLines="0"/>
        <w:jc w:val="center"/>
        <w:rPr>
          <w:rFonts w:hint="eastAsia" w:ascii="宋体" w:hAnsi="宋体"/>
          <w:sz w:val="24"/>
          <w:szCs w:val="24"/>
          <w:lang w:val="zh-CN"/>
        </w:rPr>
      </w:pPr>
    </w:p>
    <w:p w14:paraId="2B4C6C1F">
      <w:pPr>
        <w:spacing w:before="100" w:beforeLines="0" w:after="100" w:afterLines="0"/>
        <w:jc w:val="center"/>
        <w:rPr>
          <w:rFonts w:hint="eastAsia" w:ascii="宋体" w:hAnsi="宋体"/>
          <w:sz w:val="24"/>
          <w:szCs w:val="24"/>
          <w:lang w:val="zh-CN"/>
        </w:rPr>
      </w:pPr>
    </w:p>
    <w:p w14:paraId="5EB02443">
      <w:pPr>
        <w:spacing w:before="100" w:beforeLines="0" w:after="100" w:afterLines="0"/>
        <w:jc w:val="center"/>
        <w:rPr>
          <w:rFonts w:hint="eastAsia" w:ascii="宋体" w:hAnsi="宋体"/>
          <w:sz w:val="24"/>
          <w:szCs w:val="24"/>
          <w:lang w:val="zh-CN"/>
        </w:rPr>
      </w:pPr>
    </w:p>
    <w:p w14:paraId="263525FA">
      <w:pPr>
        <w:spacing w:before="100" w:beforeLines="0" w:after="100" w:afterLines="0"/>
        <w:jc w:val="center"/>
        <w:rPr>
          <w:rFonts w:hint="eastAsia" w:ascii="宋体" w:hAnsi="宋体"/>
          <w:sz w:val="24"/>
          <w:szCs w:val="24"/>
          <w:lang w:val="zh-CN"/>
        </w:rPr>
      </w:pPr>
    </w:p>
    <w:p w14:paraId="32334C4C">
      <w:pPr>
        <w:spacing w:before="100" w:beforeLines="0" w:after="100" w:afterLines="0"/>
        <w:jc w:val="both"/>
        <w:rPr>
          <w:rFonts w:hint="eastAsia" w:ascii="宋体" w:hAnsi="宋体"/>
          <w:sz w:val="28"/>
          <w:szCs w:val="28"/>
          <w:lang w:val="zh-CN"/>
        </w:rPr>
      </w:pPr>
    </w:p>
    <w:p w14:paraId="0911BD53">
      <w:pPr>
        <w:keepNext w:val="0"/>
        <w:keepLines w:val="0"/>
        <w:pageBreakBefore w:val="0"/>
        <w:widowControl/>
        <w:kinsoku/>
        <w:wordWrap/>
        <w:overflowPunct/>
        <w:topLinePunct w:val="0"/>
        <w:autoSpaceDE/>
        <w:autoSpaceDN/>
        <w:bidi w:val="0"/>
        <w:adjustRightInd/>
        <w:snapToGrid/>
        <w:spacing w:before="100" w:beforeLines="0" w:after="100" w:afterLines="0" w:line="340" w:lineRule="exact"/>
        <w:jc w:val="center"/>
        <w:textAlignment w:val="auto"/>
        <w:rPr>
          <w:rFonts w:hint="eastAsia" w:ascii="宋体" w:hAnsi="宋体"/>
          <w:sz w:val="28"/>
          <w:szCs w:val="28"/>
          <w:lang w:val="zh-CN"/>
        </w:rPr>
      </w:pPr>
      <w:r>
        <w:rPr>
          <w:rFonts w:hint="eastAsia" w:ascii="宋体" w:hAnsi="宋体"/>
          <w:b/>
          <w:sz w:val="28"/>
          <w:szCs w:val="28"/>
          <w:lang w:val="zh-CN"/>
        </w:rPr>
        <w:t>目录</w:t>
      </w:r>
    </w:p>
    <w:p w14:paraId="340A2C54">
      <w:pPr>
        <w:keepNext w:val="0"/>
        <w:keepLines w:val="0"/>
        <w:pageBreakBefore w:val="0"/>
        <w:widowControl/>
        <w:kinsoku/>
        <w:wordWrap/>
        <w:overflowPunct/>
        <w:topLinePunct w:val="0"/>
        <w:autoSpaceDE/>
        <w:autoSpaceDN/>
        <w:bidi w:val="0"/>
        <w:adjustRightInd/>
        <w:snapToGrid/>
        <w:spacing w:before="100" w:beforeLines="0" w:after="100" w:afterLines="0" w:line="340" w:lineRule="exact"/>
        <w:jc w:val="left"/>
        <w:textAlignment w:val="auto"/>
        <w:rPr>
          <w:rFonts w:hint="eastAsia" w:ascii="宋体" w:hAnsi="宋体"/>
          <w:sz w:val="28"/>
          <w:szCs w:val="28"/>
          <w:lang w:val="zh-CN"/>
        </w:rPr>
      </w:pPr>
      <w:r>
        <w:rPr>
          <w:rFonts w:hint="eastAsia" w:ascii="宋体" w:hAnsi="宋体"/>
          <w:b/>
          <w:sz w:val="28"/>
          <w:szCs w:val="28"/>
          <w:lang w:val="zh-CN"/>
        </w:rPr>
        <w:t>第一部分部门概况</w:t>
      </w:r>
    </w:p>
    <w:p w14:paraId="7C1A4C08">
      <w:pPr>
        <w:keepNext w:val="0"/>
        <w:keepLines w:val="0"/>
        <w:pageBreakBefore w:val="0"/>
        <w:widowControl/>
        <w:kinsoku/>
        <w:wordWrap/>
        <w:overflowPunct/>
        <w:topLinePunct w:val="0"/>
        <w:autoSpaceDE/>
        <w:autoSpaceDN/>
        <w:bidi w:val="0"/>
        <w:adjustRightInd/>
        <w:snapToGrid/>
        <w:spacing w:before="100" w:beforeLines="0" w:after="100" w:afterLines="0" w:line="340" w:lineRule="exact"/>
        <w:jc w:val="left"/>
        <w:textAlignment w:val="auto"/>
        <w:rPr>
          <w:rFonts w:hint="eastAsia" w:ascii="宋体" w:hAnsi="宋体"/>
          <w:sz w:val="28"/>
          <w:szCs w:val="28"/>
          <w:lang w:val="zh-CN"/>
        </w:rPr>
      </w:pPr>
      <w:r>
        <w:rPr>
          <w:rFonts w:hint="eastAsia" w:ascii="宋体" w:hAnsi="宋体"/>
          <w:sz w:val="28"/>
          <w:szCs w:val="28"/>
          <w:lang w:val="zh-CN"/>
        </w:rPr>
        <w:t>一、部门职责</w:t>
      </w:r>
    </w:p>
    <w:p w14:paraId="5E8EEF3E">
      <w:pPr>
        <w:keepNext w:val="0"/>
        <w:keepLines w:val="0"/>
        <w:pageBreakBefore w:val="0"/>
        <w:widowControl/>
        <w:kinsoku/>
        <w:wordWrap/>
        <w:overflowPunct/>
        <w:topLinePunct w:val="0"/>
        <w:autoSpaceDE/>
        <w:autoSpaceDN/>
        <w:bidi w:val="0"/>
        <w:adjustRightInd/>
        <w:snapToGrid/>
        <w:spacing w:before="100" w:beforeLines="0" w:after="100" w:afterLines="0" w:line="340" w:lineRule="exact"/>
        <w:jc w:val="left"/>
        <w:textAlignment w:val="auto"/>
        <w:rPr>
          <w:rFonts w:hint="eastAsia" w:ascii="宋体" w:hAnsi="宋体"/>
          <w:sz w:val="28"/>
          <w:szCs w:val="28"/>
          <w:lang w:val="zh-CN"/>
        </w:rPr>
      </w:pPr>
      <w:r>
        <w:rPr>
          <w:rFonts w:hint="eastAsia" w:ascii="宋体" w:hAnsi="宋体"/>
          <w:sz w:val="28"/>
          <w:szCs w:val="28"/>
          <w:lang w:val="zh-CN"/>
        </w:rPr>
        <w:t>二、机构设置</w:t>
      </w:r>
    </w:p>
    <w:p w14:paraId="2A779179">
      <w:pPr>
        <w:keepNext w:val="0"/>
        <w:keepLines w:val="0"/>
        <w:pageBreakBefore w:val="0"/>
        <w:widowControl/>
        <w:kinsoku/>
        <w:wordWrap/>
        <w:overflowPunct/>
        <w:topLinePunct w:val="0"/>
        <w:autoSpaceDE/>
        <w:autoSpaceDN/>
        <w:bidi w:val="0"/>
        <w:adjustRightInd/>
        <w:snapToGrid/>
        <w:spacing w:before="100" w:beforeLines="0" w:after="100" w:afterLines="0" w:line="340" w:lineRule="exact"/>
        <w:jc w:val="left"/>
        <w:textAlignment w:val="auto"/>
        <w:rPr>
          <w:rFonts w:hint="eastAsia" w:ascii="宋体" w:hAnsi="宋体"/>
          <w:sz w:val="28"/>
          <w:szCs w:val="28"/>
          <w:lang w:val="zh-CN"/>
        </w:rPr>
      </w:pPr>
      <w:r>
        <w:rPr>
          <w:rFonts w:hint="eastAsia" w:ascii="宋体" w:hAnsi="宋体"/>
          <w:b/>
          <w:sz w:val="28"/>
          <w:szCs w:val="28"/>
          <w:lang w:val="zh-CN"/>
        </w:rPr>
        <w:t>第二部分2022年度部门决算表</w:t>
      </w:r>
    </w:p>
    <w:p w14:paraId="0BE2C233">
      <w:pPr>
        <w:keepNext w:val="0"/>
        <w:keepLines w:val="0"/>
        <w:pageBreakBefore w:val="0"/>
        <w:widowControl/>
        <w:kinsoku/>
        <w:wordWrap/>
        <w:overflowPunct/>
        <w:topLinePunct w:val="0"/>
        <w:autoSpaceDE/>
        <w:autoSpaceDN/>
        <w:bidi w:val="0"/>
        <w:adjustRightInd/>
        <w:snapToGrid/>
        <w:spacing w:before="100" w:beforeLines="0" w:after="100" w:afterLines="0" w:line="340" w:lineRule="exact"/>
        <w:jc w:val="left"/>
        <w:textAlignment w:val="auto"/>
        <w:rPr>
          <w:rFonts w:hint="eastAsia" w:ascii="宋体" w:hAnsi="宋体"/>
          <w:sz w:val="28"/>
          <w:szCs w:val="28"/>
          <w:lang w:val="zh-CN"/>
        </w:rPr>
      </w:pPr>
      <w:r>
        <w:rPr>
          <w:rFonts w:hint="eastAsia" w:ascii="宋体" w:hAnsi="宋体"/>
          <w:sz w:val="28"/>
          <w:szCs w:val="28"/>
          <w:lang w:val="zh-CN"/>
        </w:rPr>
        <w:t>一、收入支出决算总表</w:t>
      </w:r>
    </w:p>
    <w:p w14:paraId="3ACF2E19">
      <w:pPr>
        <w:keepNext w:val="0"/>
        <w:keepLines w:val="0"/>
        <w:pageBreakBefore w:val="0"/>
        <w:widowControl/>
        <w:kinsoku/>
        <w:wordWrap/>
        <w:overflowPunct/>
        <w:topLinePunct w:val="0"/>
        <w:autoSpaceDE/>
        <w:autoSpaceDN/>
        <w:bidi w:val="0"/>
        <w:adjustRightInd/>
        <w:snapToGrid/>
        <w:spacing w:before="100" w:beforeLines="0" w:after="100" w:afterLines="0" w:line="340" w:lineRule="exact"/>
        <w:jc w:val="left"/>
        <w:textAlignment w:val="auto"/>
        <w:rPr>
          <w:rFonts w:hint="eastAsia" w:ascii="宋体" w:hAnsi="宋体"/>
          <w:sz w:val="28"/>
          <w:szCs w:val="28"/>
          <w:lang w:val="zh-CN"/>
        </w:rPr>
      </w:pPr>
      <w:r>
        <w:rPr>
          <w:rFonts w:hint="eastAsia" w:ascii="宋体" w:hAnsi="宋体"/>
          <w:sz w:val="28"/>
          <w:szCs w:val="28"/>
          <w:lang w:val="zh-CN"/>
        </w:rPr>
        <w:t>二、收入决算表</w:t>
      </w:r>
    </w:p>
    <w:p w14:paraId="7D2ECDAC">
      <w:pPr>
        <w:keepNext w:val="0"/>
        <w:keepLines w:val="0"/>
        <w:pageBreakBefore w:val="0"/>
        <w:widowControl/>
        <w:kinsoku/>
        <w:wordWrap/>
        <w:overflowPunct/>
        <w:topLinePunct w:val="0"/>
        <w:autoSpaceDE/>
        <w:autoSpaceDN/>
        <w:bidi w:val="0"/>
        <w:adjustRightInd/>
        <w:snapToGrid/>
        <w:spacing w:before="100" w:beforeLines="0" w:after="100" w:afterLines="0" w:line="340" w:lineRule="exact"/>
        <w:jc w:val="left"/>
        <w:textAlignment w:val="auto"/>
        <w:rPr>
          <w:rFonts w:hint="eastAsia" w:ascii="宋体" w:hAnsi="宋体"/>
          <w:sz w:val="28"/>
          <w:szCs w:val="28"/>
          <w:lang w:val="zh-CN"/>
        </w:rPr>
      </w:pPr>
      <w:r>
        <w:rPr>
          <w:rFonts w:hint="eastAsia" w:ascii="宋体" w:hAnsi="宋体"/>
          <w:sz w:val="28"/>
          <w:szCs w:val="28"/>
          <w:lang w:val="zh-CN"/>
        </w:rPr>
        <w:t>三、支出决算表</w:t>
      </w:r>
    </w:p>
    <w:p w14:paraId="32FAFAD0">
      <w:pPr>
        <w:keepNext w:val="0"/>
        <w:keepLines w:val="0"/>
        <w:pageBreakBefore w:val="0"/>
        <w:widowControl/>
        <w:kinsoku/>
        <w:wordWrap/>
        <w:overflowPunct/>
        <w:topLinePunct w:val="0"/>
        <w:autoSpaceDE/>
        <w:autoSpaceDN/>
        <w:bidi w:val="0"/>
        <w:adjustRightInd/>
        <w:snapToGrid/>
        <w:spacing w:before="100" w:beforeLines="0" w:after="100" w:afterLines="0" w:line="340" w:lineRule="exact"/>
        <w:jc w:val="left"/>
        <w:textAlignment w:val="auto"/>
        <w:rPr>
          <w:rFonts w:hint="eastAsia" w:ascii="宋体" w:hAnsi="宋体"/>
          <w:sz w:val="28"/>
          <w:szCs w:val="28"/>
          <w:lang w:val="zh-CN"/>
        </w:rPr>
      </w:pPr>
      <w:r>
        <w:rPr>
          <w:rFonts w:hint="eastAsia" w:ascii="宋体" w:hAnsi="宋体"/>
          <w:sz w:val="28"/>
          <w:szCs w:val="28"/>
          <w:lang w:val="zh-CN"/>
        </w:rPr>
        <w:t>四、财政拨款收入支出决算总表</w:t>
      </w:r>
    </w:p>
    <w:p w14:paraId="2D341E11">
      <w:pPr>
        <w:keepNext w:val="0"/>
        <w:keepLines w:val="0"/>
        <w:pageBreakBefore w:val="0"/>
        <w:widowControl/>
        <w:kinsoku/>
        <w:wordWrap/>
        <w:overflowPunct/>
        <w:topLinePunct w:val="0"/>
        <w:autoSpaceDE/>
        <w:autoSpaceDN/>
        <w:bidi w:val="0"/>
        <w:adjustRightInd/>
        <w:snapToGrid/>
        <w:spacing w:before="100" w:beforeLines="0" w:after="100" w:afterLines="0" w:line="340" w:lineRule="exact"/>
        <w:jc w:val="left"/>
        <w:textAlignment w:val="auto"/>
        <w:rPr>
          <w:rFonts w:hint="eastAsia" w:ascii="宋体" w:hAnsi="宋体"/>
          <w:sz w:val="28"/>
          <w:szCs w:val="28"/>
          <w:lang w:val="zh-CN"/>
        </w:rPr>
      </w:pPr>
      <w:r>
        <w:rPr>
          <w:rFonts w:hint="eastAsia" w:ascii="宋体" w:hAnsi="宋体"/>
          <w:sz w:val="28"/>
          <w:szCs w:val="28"/>
          <w:lang w:val="zh-CN"/>
        </w:rPr>
        <w:t>五、一般公共预算财政拨款支出决算表</w:t>
      </w:r>
    </w:p>
    <w:p w14:paraId="0F2739BA">
      <w:pPr>
        <w:keepNext w:val="0"/>
        <w:keepLines w:val="0"/>
        <w:pageBreakBefore w:val="0"/>
        <w:widowControl/>
        <w:kinsoku/>
        <w:wordWrap/>
        <w:overflowPunct/>
        <w:topLinePunct w:val="0"/>
        <w:autoSpaceDE/>
        <w:autoSpaceDN/>
        <w:bidi w:val="0"/>
        <w:adjustRightInd/>
        <w:snapToGrid/>
        <w:spacing w:before="100" w:beforeLines="0" w:after="100" w:afterLines="0" w:line="340" w:lineRule="exact"/>
        <w:jc w:val="left"/>
        <w:textAlignment w:val="auto"/>
        <w:rPr>
          <w:rFonts w:hint="eastAsia" w:ascii="宋体" w:hAnsi="宋体"/>
          <w:sz w:val="28"/>
          <w:szCs w:val="28"/>
          <w:lang w:val="zh-CN"/>
        </w:rPr>
      </w:pPr>
      <w:r>
        <w:rPr>
          <w:rFonts w:hint="eastAsia" w:ascii="宋体" w:hAnsi="宋体"/>
          <w:sz w:val="28"/>
          <w:szCs w:val="28"/>
          <w:lang w:val="zh-CN"/>
        </w:rPr>
        <w:t>六、一般公共预算财政拨款基本支出决算明细表</w:t>
      </w:r>
    </w:p>
    <w:p w14:paraId="66B37D68">
      <w:pPr>
        <w:keepNext w:val="0"/>
        <w:keepLines w:val="0"/>
        <w:pageBreakBefore w:val="0"/>
        <w:widowControl/>
        <w:kinsoku/>
        <w:wordWrap/>
        <w:overflowPunct/>
        <w:topLinePunct w:val="0"/>
        <w:autoSpaceDE/>
        <w:autoSpaceDN/>
        <w:bidi w:val="0"/>
        <w:adjustRightInd/>
        <w:snapToGrid/>
        <w:spacing w:before="100" w:beforeLines="0" w:after="100" w:afterLines="0" w:line="340" w:lineRule="exact"/>
        <w:jc w:val="left"/>
        <w:textAlignment w:val="auto"/>
        <w:rPr>
          <w:rFonts w:hint="eastAsia" w:ascii="宋体" w:hAnsi="宋体"/>
          <w:sz w:val="28"/>
          <w:szCs w:val="28"/>
          <w:lang w:val="zh-CN"/>
        </w:rPr>
      </w:pPr>
      <w:r>
        <w:rPr>
          <w:rFonts w:hint="eastAsia" w:ascii="宋体" w:hAnsi="宋体"/>
          <w:sz w:val="28"/>
          <w:szCs w:val="28"/>
          <w:lang w:val="zh-CN"/>
        </w:rPr>
        <w:t>七、政府性基金预算财政拨款收入支出决算表</w:t>
      </w:r>
    </w:p>
    <w:p w14:paraId="453351A7">
      <w:pPr>
        <w:keepNext w:val="0"/>
        <w:keepLines w:val="0"/>
        <w:pageBreakBefore w:val="0"/>
        <w:widowControl/>
        <w:kinsoku/>
        <w:wordWrap/>
        <w:overflowPunct/>
        <w:topLinePunct w:val="0"/>
        <w:autoSpaceDE/>
        <w:autoSpaceDN/>
        <w:bidi w:val="0"/>
        <w:adjustRightInd/>
        <w:snapToGrid/>
        <w:spacing w:before="100" w:beforeLines="0" w:after="100" w:afterLines="0" w:line="340" w:lineRule="exact"/>
        <w:jc w:val="left"/>
        <w:textAlignment w:val="auto"/>
        <w:rPr>
          <w:rFonts w:hint="eastAsia" w:ascii="宋体" w:hAnsi="宋体"/>
          <w:sz w:val="28"/>
          <w:szCs w:val="28"/>
          <w:lang w:val="zh-CN"/>
        </w:rPr>
      </w:pPr>
      <w:r>
        <w:rPr>
          <w:rFonts w:hint="eastAsia" w:ascii="宋体" w:hAnsi="宋体"/>
          <w:sz w:val="28"/>
          <w:szCs w:val="28"/>
          <w:lang w:val="zh-CN"/>
        </w:rPr>
        <w:t>八、国有资本经营预算财政拨款支出决算表</w:t>
      </w:r>
    </w:p>
    <w:p w14:paraId="38F90A5F">
      <w:pPr>
        <w:keepNext w:val="0"/>
        <w:keepLines w:val="0"/>
        <w:pageBreakBefore w:val="0"/>
        <w:widowControl/>
        <w:kinsoku/>
        <w:wordWrap/>
        <w:overflowPunct/>
        <w:topLinePunct w:val="0"/>
        <w:autoSpaceDE/>
        <w:autoSpaceDN/>
        <w:bidi w:val="0"/>
        <w:adjustRightInd/>
        <w:snapToGrid/>
        <w:spacing w:before="100" w:beforeLines="0" w:after="100" w:afterLines="0" w:line="340" w:lineRule="exact"/>
        <w:jc w:val="left"/>
        <w:textAlignment w:val="auto"/>
        <w:rPr>
          <w:rFonts w:hint="eastAsia" w:ascii="宋体" w:hAnsi="宋体"/>
          <w:sz w:val="28"/>
          <w:szCs w:val="28"/>
          <w:lang w:val="zh-CN"/>
        </w:rPr>
      </w:pPr>
      <w:r>
        <w:rPr>
          <w:rFonts w:hint="eastAsia" w:ascii="宋体" w:hAnsi="宋体"/>
          <w:sz w:val="28"/>
          <w:szCs w:val="28"/>
          <w:lang w:val="zh-CN"/>
        </w:rPr>
        <w:t>九、财政拨款</w:t>
      </w:r>
      <w:r>
        <w:rPr>
          <w:rFonts w:hint="default" w:ascii="宋体" w:hAnsi="宋体"/>
          <w:sz w:val="28"/>
          <w:szCs w:val="28"/>
          <w:lang w:val="zh-CN"/>
        </w:rPr>
        <w:t>“</w:t>
      </w:r>
      <w:r>
        <w:rPr>
          <w:rFonts w:hint="eastAsia" w:ascii="宋体" w:hAnsi="宋体"/>
          <w:sz w:val="28"/>
          <w:szCs w:val="28"/>
          <w:lang w:val="zh-CN"/>
        </w:rPr>
        <w:t>三公</w:t>
      </w:r>
      <w:r>
        <w:rPr>
          <w:rFonts w:hint="default" w:ascii="宋体" w:hAnsi="宋体"/>
          <w:sz w:val="28"/>
          <w:szCs w:val="28"/>
          <w:lang w:val="zh-CN"/>
        </w:rPr>
        <w:t>”</w:t>
      </w:r>
      <w:r>
        <w:rPr>
          <w:rFonts w:hint="eastAsia" w:ascii="宋体" w:hAnsi="宋体"/>
          <w:sz w:val="28"/>
          <w:szCs w:val="28"/>
          <w:lang w:val="zh-CN"/>
        </w:rPr>
        <w:t>经费支出决算表</w:t>
      </w:r>
    </w:p>
    <w:p w14:paraId="2F823F88">
      <w:pPr>
        <w:keepNext w:val="0"/>
        <w:keepLines w:val="0"/>
        <w:pageBreakBefore w:val="0"/>
        <w:widowControl/>
        <w:kinsoku/>
        <w:wordWrap/>
        <w:overflowPunct/>
        <w:topLinePunct w:val="0"/>
        <w:autoSpaceDE/>
        <w:autoSpaceDN/>
        <w:bidi w:val="0"/>
        <w:adjustRightInd/>
        <w:snapToGrid/>
        <w:spacing w:before="100" w:beforeLines="0" w:after="100" w:afterLines="0" w:line="340" w:lineRule="exact"/>
        <w:jc w:val="left"/>
        <w:textAlignment w:val="auto"/>
        <w:rPr>
          <w:rFonts w:hint="eastAsia" w:ascii="宋体" w:hAnsi="宋体"/>
          <w:sz w:val="28"/>
          <w:szCs w:val="28"/>
          <w:lang w:val="zh-CN"/>
        </w:rPr>
      </w:pPr>
      <w:r>
        <w:rPr>
          <w:rFonts w:hint="eastAsia" w:ascii="宋体" w:hAnsi="宋体"/>
          <w:b/>
          <w:sz w:val="28"/>
          <w:szCs w:val="28"/>
          <w:lang w:val="zh-CN"/>
        </w:rPr>
        <w:t>第三部分2022年度部门决算情况说明</w:t>
      </w:r>
    </w:p>
    <w:p w14:paraId="540F0CCD">
      <w:pPr>
        <w:keepNext w:val="0"/>
        <w:keepLines w:val="0"/>
        <w:pageBreakBefore w:val="0"/>
        <w:widowControl/>
        <w:kinsoku/>
        <w:wordWrap/>
        <w:overflowPunct/>
        <w:topLinePunct w:val="0"/>
        <w:autoSpaceDE/>
        <w:autoSpaceDN/>
        <w:bidi w:val="0"/>
        <w:adjustRightInd/>
        <w:snapToGrid/>
        <w:spacing w:before="100" w:beforeLines="0" w:after="100" w:afterLines="0" w:line="340" w:lineRule="exact"/>
        <w:jc w:val="left"/>
        <w:textAlignment w:val="auto"/>
        <w:rPr>
          <w:rFonts w:hint="eastAsia" w:ascii="宋体" w:hAnsi="宋体"/>
          <w:sz w:val="28"/>
          <w:szCs w:val="28"/>
          <w:lang w:val="zh-CN"/>
        </w:rPr>
      </w:pPr>
      <w:r>
        <w:rPr>
          <w:rFonts w:hint="eastAsia" w:ascii="宋体" w:hAnsi="宋体"/>
          <w:sz w:val="28"/>
          <w:szCs w:val="28"/>
          <w:lang w:val="zh-CN"/>
        </w:rPr>
        <w:t>一、收入支出决算总体情况说明</w:t>
      </w:r>
    </w:p>
    <w:p w14:paraId="41427DED">
      <w:pPr>
        <w:keepNext w:val="0"/>
        <w:keepLines w:val="0"/>
        <w:pageBreakBefore w:val="0"/>
        <w:widowControl/>
        <w:kinsoku/>
        <w:wordWrap/>
        <w:overflowPunct/>
        <w:topLinePunct w:val="0"/>
        <w:autoSpaceDE/>
        <w:autoSpaceDN/>
        <w:bidi w:val="0"/>
        <w:adjustRightInd/>
        <w:snapToGrid/>
        <w:spacing w:before="100" w:beforeLines="0" w:after="100" w:afterLines="0" w:line="340" w:lineRule="exact"/>
        <w:jc w:val="left"/>
        <w:textAlignment w:val="auto"/>
        <w:rPr>
          <w:rFonts w:hint="eastAsia" w:ascii="宋体" w:hAnsi="宋体"/>
          <w:sz w:val="28"/>
          <w:szCs w:val="28"/>
          <w:lang w:val="zh-CN"/>
        </w:rPr>
      </w:pPr>
      <w:r>
        <w:rPr>
          <w:rFonts w:hint="eastAsia" w:ascii="宋体" w:hAnsi="宋体"/>
          <w:sz w:val="28"/>
          <w:szCs w:val="28"/>
          <w:lang w:val="zh-CN"/>
        </w:rPr>
        <w:t>二、收入决算情况说明</w:t>
      </w:r>
    </w:p>
    <w:p w14:paraId="3BE56301">
      <w:pPr>
        <w:keepNext w:val="0"/>
        <w:keepLines w:val="0"/>
        <w:pageBreakBefore w:val="0"/>
        <w:widowControl/>
        <w:kinsoku/>
        <w:wordWrap/>
        <w:overflowPunct/>
        <w:topLinePunct w:val="0"/>
        <w:autoSpaceDE/>
        <w:autoSpaceDN/>
        <w:bidi w:val="0"/>
        <w:adjustRightInd/>
        <w:snapToGrid/>
        <w:spacing w:before="100" w:beforeLines="0" w:after="100" w:afterLines="0" w:line="340" w:lineRule="exact"/>
        <w:jc w:val="left"/>
        <w:textAlignment w:val="auto"/>
        <w:rPr>
          <w:rFonts w:hint="eastAsia" w:ascii="宋体" w:hAnsi="宋体"/>
          <w:sz w:val="28"/>
          <w:szCs w:val="28"/>
          <w:lang w:val="zh-CN"/>
        </w:rPr>
      </w:pPr>
      <w:r>
        <w:rPr>
          <w:rFonts w:hint="eastAsia" w:ascii="宋体" w:hAnsi="宋体"/>
          <w:sz w:val="28"/>
          <w:szCs w:val="28"/>
          <w:lang w:val="zh-CN"/>
        </w:rPr>
        <w:t>三、支出决算情况说明</w:t>
      </w:r>
    </w:p>
    <w:p w14:paraId="49D04858">
      <w:pPr>
        <w:keepNext w:val="0"/>
        <w:keepLines w:val="0"/>
        <w:pageBreakBefore w:val="0"/>
        <w:widowControl/>
        <w:kinsoku/>
        <w:wordWrap/>
        <w:overflowPunct/>
        <w:topLinePunct w:val="0"/>
        <w:autoSpaceDE/>
        <w:autoSpaceDN/>
        <w:bidi w:val="0"/>
        <w:adjustRightInd/>
        <w:snapToGrid/>
        <w:spacing w:before="100" w:beforeLines="0" w:after="100" w:afterLines="0" w:line="340" w:lineRule="exact"/>
        <w:jc w:val="left"/>
        <w:textAlignment w:val="auto"/>
        <w:rPr>
          <w:rFonts w:hint="eastAsia" w:ascii="宋体" w:hAnsi="宋体"/>
          <w:sz w:val="28"/>
          <w:szCs w:val="28"/>
          <w:lang w:val="zh-CN"/>
        </w:rPr>
      </w:pPr>
      <w:r>
        <w:rPr>
          <w:rFonts w:hint="eastAsia" w:ascii="宋体" w:hAnsi="宋体"/>
          <w:sz w:val="28"/>
          <w:szCs w:val="28"/>
          <w:lang w:val="zh-CN"/>
        </w:rPr>
        <w:t>四、财政拨款收入支出决算总体情况说明</w:t>
      </w:r>
    </w:p>
    <w:p w14:paraId="46130C85">
      <w:pPr>
        <w:keepNext w:val="0"/>
        <w:keepLines w:val="0"/>
        <w:pageBreakBefore w:val="0"/>
        <w:widowControl/>
        <w:kinsoku/>
        <w:wordWrap/>
        <w:overflowPunct/>
        <w:topLinePunct w:val="0"/>
        <w:autoSpaceDE/>
        <w:autoSpaceDN/>
        <w:bidi w:val="0"/>
        <w:adjustRightInd/>
        <w:snapToGrid/>
        <w:spacing w:before="100" w:beforeLines="0" w:after="100" w:afterLines="0" w:line="340" w:lineRule="exact"/>
        <w:jc w:val="left"/>
        <w:textAlignment w:val="auto"/>
        <w:rPr>
          <w:rFonts w:hint="eastAsia" w:ascii="宋体" w:hAnsi="宋体"/>
          <w:sz w:val="28"/>
          <w:szCs w:val="28"/>
          <w:lang w:val="zh-CN"/>
        </w:rPr>
      </w:pPr>
      <w:r>
        <w:rPr>
          <w:rFonts w:hint="eastAsia" w:ascii="宋体" w:hAnsi="宋体"/>
          <w:sz w:val="28"/>
          <w:szCs w:val="28"/>
          <w:lang w:val="zh-CN"/>
        </w:rPr>
        <w:t>五、一般公共预算财政拨款支出决算情况说明</w:t>
      </w:r>
    </w:p>
    <w:p w14:paraId="0B0A060D">
      <w:pPr>
        <w:keepNext w:val="0"/>
        <w:keepLines w:val="0"/>
        <w:pageBreakBefore w:val="0"/>
        <w:widowControl/>
        <w:kinsoku/>
        <w:wordWrap/>
        <w:overflowPunct/>
        <w:topLinePunct w:val="0"/>
        <w:autoSpaceDE/>
        <w:autoSpaceDN/>
        <w:bidi w:val="0"/>
        <w:adjustRightInd/>
        <w:snapToGrid/>
        <w:spacing w:before="100" w:beforeLines="0" w:after="100" w:afterLines="0" w:line="340" w:lineRule="exact"/>
        <w:jc w:val="left"/>
        <w:textAlignment w:val="auto"/>
        <w:rPr>
          <w:rFonts w:hint="eastAsia" w:ascii="宋体" w:hAnsi="宋体"/>
          <w:sz w:val="28"/>
          <w:szCs w:val="28"/>
          <w:lang w:val="zh-CN"/>
        </w:rPr>
      </w:pPr>
      <w:r>
        <w:rPr>
          <w:rFonts w:hint="eastAsia" w:ascii="宋体" w:hAnsi="宋体"/>
          <w:sz w:val="28"/>
          <w:szCs w:val="28"/>
          <w:lang w:val="zh-CN"/>
        </w:rPr>
        <w:t>六、一般公共预算财政拨款基本支出决算情况说明</w:t>
      </w:r>
    </w:p>
    <w:p w14:paraId="6546C846">
      <w:pPr>
        <w:keepNext w:val="0"/>
        <w:keepLines w:val="0"/>
        <w:pageBreakBefore w:val="0"/>
        <w:widowControl/>
        <w:kinsoku/>
        <w:wordWrap/>
        <w:overflowPunct/>
        <w:topLinePunct w:val="0"/>
        <w:autoSpaceDE/>
        <w:autoSpaceDN/>
        <w:bidi w:val="0"/>
        <w:adjustRightInd/>
        <w:snapToGrid/>
        <w:spacing w:before="100" w:beforeLines="0" w:after="100" w:afterLines="0" w:line="340" w:lineRule="exact"/>
        <w:jc w:val="left"/>
        <w:textAlignment w:val="auto"/>
        <w:rPr>
          <w:rFonts w:hint="eastAsia" w:ascii="宋体" w:hAnsi="宋体"/>
          <w:sz w:val="28"/>
          <w:szCs w:val="28"/>
          <w:lang w:val="zh-CN"/>
        </w:rPr>
      </w:pPr>
      <w:r>
        <w:rPr>
          <w:rFonts w:hint="eastAsia" w:ascii="宋体" w:hAnsi="宋体"/>
          <w:sz w:val="28"/>
          <w:szCs w:val="28"/>
          <w:lang w:val="zh-CN"/>
        </w:rPr>
        <w:t>七、机关运行经费支出情况说明</w:t>
      </w:r>
    </w:p>
    <w:p w14:paraId="2D0EAB5C">
      <w:pPr>
        <w:keepNext w:val="0"/>
        <w:keepLines w:val="0"/>
        <w:pageBreakBefore w:val="0"/>
        <w:widowControl/>
        <w:kinsoku/>
        <w:wordWrap/>
        <w:overflowPunct/>
        <w:topLinePunct w:val="0"/>
        <w:autoSpaceDE/>
        <w:autoSpaceDN/>
        <w:bidi w:val="0"/>
        <w:adjustRightInd/>
        <w:snapToGrid/>
        <w:spacing w:before="100" w:beforeLines="0" w:after="100" w:afterLines="0" w:line="340" w:lineRule="exact"/>
        <w:jc w:val="left"/>
        <w:textAlignment w:val="auto"/>
        <w:rPr>
          <w:rFonts w:hint="eastAsia" w:ascii="宋体" w:hAnsi="宋体"/>
          <w:sz w:val="28"/>
          <w:szCs w:val="28"/>
          <w:lang w:val="zh-CN"/>
        </w:rPr>
      </w:pPr>
      <w:r>
        <w:rPr>
          <w:rFonts w:hint="eastAsia" w:ascii="宋体" w:hAnsi="宋体"/>
          <w:sz w:val="28"/>
          <w:szCs w:val="28"/>
          <w:lang w:val="zh-CN"/>
        </w:rPr>
        <w:t>八、政府采购支出情况说明</w:t>
      </w:r>
    </w:p>
    <w:p w14:paraId="62F87038">
      <w:pPr>
        <w:keepNext w:val="0"/>
        <w:keepLines w:val="0"/>
        <w:pageBreakBefore w:val="0"/>
        <w:widowControl/>
        <w:kinsoku/>
        <w:wordWrap/>
        <w:overflowPunct/>
        <w:topLinePunct w:val="0"/>
        <w:autoSpaceDE/>
        <w:autoSpaceDN/>
        <w:bidi w:val="0"/>
        <w:adjustRightInd/>
        <w:snapToGrid/>
        <w:spacing w:before="100" w:beforeLines="0" w:after="100" w:afterLines="0" w:line="340" w:lineRule="exact"/>
        <w:jc w:val="left"/>
        <w:textAlignment w:val="auto"/>
        <w:rPr>
          <w:rFonts w:hint="eastAsia" w:ascii="宋体" w:hAnsi="宋体"/>
          <w:sz w:val="28"/>
          <w:szCs w:val="28"/>
          <w:lang w:val="zh-CN"/>
        </w:rPr>
      </w:pPr>
      <w:r>
        <w:rPr>
          <w:rFonts w:hint="eastAsia" w:ascii="宋体" w:hAnsi="宋体"/>
          <w:sz w:val="28"/>
          <w:szCs w:val="28"/>
          <w:lang w:val="zh-CN"/>
        </w:rPr>
        <w:t>九、国有资产占用情况说明</w:t>
      </w:r>
    </w:p>
    <w:p w14:paraId="6D6BC178">
      <w:pPr>
        <w:keepNext w:val="0"/>
        <w:keepLines w:val="0"/>
        <w:pageBreakBefore w:val="0"/>
        <w:widowControl/>
        <w:kinsoku/>
        <w:wordWrap/>
        <w:overflowPunct/>
        <w:topLinePunct w:val="0"/>
        <w:autoSpaceDE/>
        <w:autoSpaceDN/>
        <w:bidi w:val="0"/>
        <w:adjustRightInd/>
        <w:snapToGrid/>
        <w:spacing w:before="100" w:beforeLines="0" w:after="100" w:afterLines="0" w:line="340" w:lineRule="exact"/>
        <w:jc w:val="left"/>
        <w:textAlignment w:val="auto"/>
        <w:rPr>
          <w:rFonts w:hint="eastAsia" w:ascii="宋体" w:hAnsi="宋体"/>
          <w:sz w:val="28"/>
          <w:szCs w:val="28"/>
          <w:lang w:val="zh-CN"/>
        </w:rPr>
      </w:pPr>
      <w:r>
        <w:rPr>
          <w:rFonts w:hint="eastAsia" w:ascii="宋体" w:hAnsi="宋体"/>
          <w:sz w:val="28"/>
          <w:szCs w:val="28"/>
          <w:lang w:val="zh-CN"/>
        </w:rPr>
        <w:t>十、政府性基金预算财政拨款收支决算情况说明</w:t>
      </w:r>
    </w:p>
    <w:p w14:paraId="5B338E45">
      <w:pPr>
        <w:keepNext w:val="0"/>
        <w:keepLines w:val="0"/>
        <w:pageBreakBefore w:val="0"/>
        <w:widowControl/>
        <w:kinsoku/>
        <w:wordWrap/>
        <w:overflowPunct/>
        <w:topLinePunct w:val="0"/>
        <w:autoSpaceDE/>
        <w:autoSpaceDN/>
        <w:bidi w:val="0"/>
        <w:adjustRightInd/>
        <w:snapToGrid/>
        <w:spacing w:before="100" w:beforeLines="0" w:after="100" w:afterLines="0" w:line="340" w:lineRule="exact"/>
        <w:jc w:val="left"/>
        <w:textAlignment w:val="auto"/>
        <w:rPr>
          <w:rFonts w:hint="eastAsia" w:ascii="宋体" w:hAnsi="宋体"/>
          <w:sz w:val="28"/>
          <w:szCs w:val="28"/>
          <w:lang w:val="zh-CN"/>
        </w:rPr>
      </w:pPr>
      <w:r>
        <w:rPr>
          <w:rFonts w:hint="eastAsia" w:ascii="宋体" w:hAnsi="宋体"/>
          <w:sz w:val="28"/>
          <w:szCs w:val="28"/>
          <w:lang w:val="zh-CN"/>
        </w:rPr>
        <w:t>十一、国有资本经营预算财政拨款支出情况说明</w:t>
      </w:r>
    </w:p>
    <w:p w14:paraId="4D213947">
      <w:pPr>
        <w:keepNext w:val="0"/>
        <w:keepLines w:val="0"/>
        <w:pageBreakBefore w:val="0"/>
        <w:widowControl/>
        <w:kinsoku/>
        <w:wordWrap/>
        <w:overflowPunct/>
        <w:topLinePunct w:val="0"/>
        <w:autoSpaceDE/>
        <w:autoSpaceDN/>
        <w:bidi w:val="0"/>
        <w:adjustRightInd/>
        <w:snapToGrid/>
        <w:spacing w:before="100" w:beforeLines="0" w:after="100" w:afterLines="0" w:line="340" w:lineRule="exact"/>
        <w:jc w:val="left"/>
        <w:textAlignment w:val="auto"/>
        <w:rPr>
          <w:rFonts w:hint="eastAsia" w:ascii="宋体" w:hAnsi="宋体"/>
          <w:sz w:val="28"/>
          <w:szCs w:val="28"/>
          <w:lang w:val="zh-CN"/>
        </w:rPr>
      </w:pPr>
      <w:r>
        <w:rPr>
          <w:rFonts w:hint="eastAsia" w:ascii="宋体" w:hAnsi="宋体"/>
          <w:sz w:val="28"/>
          <w:szCs w:val="28"/>
          <w:lang w:val="zh-CN"/>
        </w:rPr>
        <w:t>十二、财政拨款</w:t>
      </w:r>
      <w:r>
        <w:rPr>
          <w:rFonts w:hint="default" w:ascii="宋体" w:hAnsi="宋体"/>
          <w:sz w:val="28"/>
          <w:szCs w:val="28"/>
          <w:lang w:val="zh-CN"/>
        </w:rPr>
        <w:t>“</w:t>
      </w:r>
      <w:r>
        <w:rPr>
          <w:rFonts w:hint="eastAsia" w:ascii="宋体" w:hAnsi="宋体"/>
          <w:sz w:val="28"/>
          <w:szCs w:val="28"/>
          <w:lang w:val="zh-CN"/>
        </w:rPr>
        <w:t>三公</w:t>
      </w:r>
      <w:r>
        <w:rPr>
          <w:rFonts w:hint="default" w:ascii="宋体" w:hAnsi="宋体"/>
          <w:sz w:val="28"/>
          <w:szCs w:val="28"/>
          <w:lang w:val="zh-CN"/>
        </w:rPr>
        <w:t>”</w:t>
      </w:r>
      <w:r>
        <w:rPr>
          <w:rFonts w:hint="eastAsia" w:ascii="宋体" w:hAnsi="宋体"/>
          <w:sz w:val="28"/>
          <w:szCs w:val="28"/>
          <w:lang w:val="zh-CN"/>
        </w:rPr>
        <w:t>经费支出决算情况说明</w:t>
      </w:r>
    </w:p>
    <w:p w14:paraId="7335E009">
      <w:pPr>
        <w:keepNext w:val="0"/>
        <w:keepLines w:val="0"/>
        <w:pageBreakBefore w:val="0"/>
        <w:widowControl/>
        <w:kinsoku/>
        <w:wordWrap/>
        <w:overflowPunct/>
        <w:topLinePunct w:val="0"/>
        <w:autoSpaceDE/>
        <w:autoSpaceDN/>
        <w:bidi w:val="0"/>
        <w:adjustRightInd/>
        <w:snapToGrid/>
        <w:spacing w:before="100" w:beforeLines="0" w:after="100" w:afterLines="0" w:line="340" w:lineRule="exact"/>
        <w:jc w:val="left"/>
        <w:textAlignment w:val="auto"/>
        <w:rPr>
          <w:rFonts w:hint="eastAsia" w:ascii="宋体" w:hAnsi="宋体"/>
          <w:sz w:val="28"/>
          <w:szCs w:val="28"/>
          <w:lang w:val="zh-CN"/>
        </w:rPr>
      </w:pPr>
      <w:r>
        <w:rPr>
          <w:rFonts w:hint="eastAsia" w:ascii="宋体" w:hAnsi="宋体"/>
          <w:b/>
          <w:sz w:val="28"/>
          <w:szCs w:val="28"/>
          <w:lang w:val="zh-CN"/>
        </w:rPr>
        <w:t>第四部分预算绩效情况说明</w:t>
      </w:r>
    </w:p>
    <w:p w14:paraId="2FB790D8">
      <w:pPr>
        <w:keepNext w:val="0"/>
        <w:keepLines w:val="0"/>
        <w:pageBreakBefore w:val="0"/>
        <w:widowControl/>
        <w:kinsoku/>
        <w:wordWrap/>
        <w:overflowPunct/>
        <w:topLinePunct w:val="0"/>
        <w:autoSpaceDE/>
        <w:autoSpaceDN/>
        <w:bidi w:val="0"/>
        <w:adjustRightInd/>
        <w:snapToGrid/>
        <w:spacing w:before="100" w:beforeLines="0" w:after="100" w:afterLines="0" w:line="340" w:lineRule="exact"/>
        <w:jc w:val="left"/>
        <w:textAlignment w:val="auto"/>
        <w:rPr>
          <w:rFonts w:hint="eastAsia" w:ascii="宋体" w:hAnsi="宋体"/>
          <w:sz w:val="24"/>
          <w:szCs w:val="24"/>
          <w:lang w:val="zh-CN"/>
        </w:rPr>
      </w:pPr>
      <w:r>
        <w:rPr>
          <w:rFonts w:hint="eastAsia" w:ascii="宋体" w:hAnsi="宋体"/>
          <w:b/>
          <w:sz w:val="28"/>
          <w:szCs w:val="28"/>
          <w:lang w:val="zh-CN"/>
        </w:rPr>
        <w:t>第五部分名词解释</w:t>
      </w:r>
    </w:p>
    <w:p w14:paraId="2225AE45">
      <w:pPr>
        <w:spacing w:before="100" w:beforeLines="0" w:after="100" w:afterLines="0"/>
        <w:jc w:val="center"/>
        <w:rPr>
          <w:rFonts w:hint="eastAsia" w:asciiTheme="majorEastAsia" w:hAnsiTheme="majorEastAsia" w:eastAsiaTheme="majorEastAsia" w:cstheme="majorEastAsia"/>
          <w:b/>
          <w:bCs w:val="0"/>
          <w:sz w:val="32"/>
          <w:szCs w:val="32"/>
          <w:lang w:val="zh-CN"/>
        </w:rPr>
      </w:pPr>
      <w:r>
        <w:rPr>
          <w:rFonts w:hint="eastAsia" w:asciiTheme="majorEastAsia" w:hAnsiTheme="majorEastAsia" w:eastAsiaTheme="majorEastAsia" w:cstheme="majorEastAsia"/>
          <w:b/>
          <w:bCs w:val="0"/>
          <w:sz w:val="32"/>
          <w:szCs w:val="32"/>
          <w:lang w:val="zh-CN"/>
        </w:rPr>
        <w:t>第一部分部门概况</w:t>
      </w:r>
    </w:p>
    <w:p w14:paraId="103206EC">
      <w:pPr>
        <w:spacing w:before="100" w:beforeLines="0" w:after="100" w:afterLines="0"/>
        <w:jc w:val="left"/>
        <w:rPr>
          <w:rFonts w:hint="eastAsia" w:asciiTheme="majorEastAsia" w:hAnsiTheme="majorEastAsia" w:eastAsiaTheme="majorEastAsia" w:cstheme="majorEastAsia"/>
          <w:b/>
          <w:bCs w:val="0"/>
          <w:sz w:val="32"/>
          <w:szCs w:val="32"/>
          <w:lang w:val="zh-CN"/>
        </w:rPr>
      </w:pPr>
      <w:r>
        <w:rPr>
          <w:rFonts w:hint="eastAsia" w:asciiTheme="majorEastAsia" w:hAnsiTheme="majorEastAsia" w:eastAsiaTheme="majorEastAsia" w:cstheme="majorEastAsia"/>
          <w:b/>
          <w:bCs w:val="0"/>
          <w:sz w:val="32"/>
          <w:szCs w:val="32"/>
          <w:lang w:val="zh-CN"/>
        </w:rPr>
        <w:t>一、部门职责</w:t>
      </w:r>
    </w:p>
    <w:p w14:paraId="0DB0E59B">
      <w:pPr>
        <w:ind w:firstLine="640" w:firstLineChars="200"/>
        <w:rPr>
          <w:rFonts w:hint="eastAsia" w:ascii="仿宋" w:hAnsi="仿宋" w:eastAsia="仿宋" w:cs="仿宋"/>
          <w:color w:val="000000"/>
          <w:sz w:val="32"/>
          <w:szCs w:val="32"/>
        </w:rPr>
      </w:pPr>
      <w:r>
        <w:rPr>
          <w:rFonts w:hint="eastAsia" w:ascii="仿宋" w:hAnsi="仿宋" w:eastAsia="仿宋" w:cs="仿宋"/>
          <w:sz w:val="32"/>
          <w:szCs w:val="32"/>
        </w:rPr>
        <w:t>（一）贯彻实施公共资源交易服务相关法律、法规和政策，负责市级公共资源交易平台及网络系统建设、运行、管理，为进入市级公共资源交易市场的各类公共资源交易活动提供场所、设施和服务。</w:t>
      </w:r>
    </w:p>
    <w:p w14:paraId="0874911E">
      <w:pPr>
        <w:ind w:firstLine="640" w:firstLineChars="200"/>
        <w:rPr>
          <w:rFonts w:hint="eastAsia" w:ascii="仿宋" w:hAnsi="仿宋" w:eastAsia="仿宋" w:cs="仿宋"/>
          <w:color w:val="000000"/>
          <w:sz w:val="32"/>
          <w:szCs w:val="32"/>
        </w:rPr>
      </w:pPr>
      <w:r>
        <w:rPr>
          <w:rFonts w:hint="eastAsia" w:ascii="仿宋" w:hAnsi="仿宋" w:eastAsia="仿宋" w:cs="仿宋"/>
          <w:sz w:val="32"/>
          <w:szCs w:val="32"/>
        </w:rPr>
        <w:t xml:space="preserve"> （二）依据公共资源交易项目目录，承担国家和省上指定交易项目，全市工程建设项目、政府采购、土地使用权和矿业权出让、国有产权交易、公立医疗卫生机构药品及医疗器械采购等交易事项的进场交易服务和集中采购工作。</w:t>
      </w:r>
    </w:p>
    <w:p w14:paraId="41FC4C98">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 （三）会同有关部门研究制定各类进场交易活动的技术标准、交易流程、操作规程和现场管理制度，依法依规组织进场交易活动，维护交易现场秩序。</w:t>
      </w:r>
    </w:p>
    <w:p w14:paraId="38049B44">
      <w:pPr>
        <w:ind w:firstLine="640" w:firstLineChars="200"/>
        <w:rPr>
          <w:rFonts w:hint="eastAsia" w:ascii="仿宋" w:hAnsi="仿宋" w:eastAsia="仿宋" w:cs="仿宋"/>
          <w:sz w:val="32"/>
          <w:szCs w:val="32"/>
        </w:rPr>
      </w:pPr>
      <w:r>
        <w:rPr>
          <w:rFonts w:hint="eastAsia" w:ascii="仿宋" w:hAnsi="仿宋" w:eastAsia="仿宋" w:cs="仿宋"/>
          <w:sz w:val="32"/>
          <w:szCs w:val="32"/>
        </w:rPr>
        <w:t>（四）会同有关部门建设和管理市级综合评标专家库，负责现场评标专家的抽取；收集、储存、发布各类交易信息，为市场主体提供信息咨询服务；统计分析全市公共资源交易活动情况。</w:t>
      </w:r>
    </w:p>
    <w:p w14:paraId="03E4015B">
      <w:pPr>
        <w:ind w:firstLine="640" w:firstLineChars="200"/>
        <w:rPr>
          <w:rFonts w:hint="eastAsia" w:ascii="仿宋" w:hAnsi="仿宋" w:eastAsia="仿宋" w:cs="仿宋"/>
          <w:sz w:val="32"/>
          <w:szCs w:val="32"/>
        </w:rPr>
      </w:pPr>
      <w:r>
        <w:rPr>
          <w:rFonts w:hint="eastAsia" w:ascii="仿宋" w:hAnsi="仿宋" w:eastAsia="仿宋" w:cs="仿宋"/>
          <w:sz w:val="32"/>
          <w:szCs w:val="32"/>
        </w:rPr>
        <w:t>（五）协助配合行业主管部门、监管部门对招标文件内容、招标采购形式、评标委员会组成等进行合法性复核，核验进场交易市场主体资格和交易项目资料是否完整，整理保存交易过程相关资料。</w:t>
      </w:r>
    </w:p>
    <w:p w14:paraId="023A8C83">
      <w:pPr>
        <w:ind w:firstLine="640" w:firstLineChars="200"/>
        <w:rPr>
          <w:rFonts w:hint="eastAsia" w:ascii="仿宋" w:hAnsi="仿宋" w:eastAsia="仿宋" w:cs="仿宋"/>
          <w:sz w:val="32"/>
          <w:szCs w:val="32"/>
        </w:rPr>
      </w:pPr>
      <w:r>
        <w:rPr>
          <w:rFonts w:hint="eastAsia" w:ascii="仿宋" w:hAnsi="仿宋" w:eastAsia="仿宋" w:cs="仿宋"/>
          <w:sz w:val="32"/>
          <w:szCs w:val="32"/>
        </w:rPr>
        <w:t>（六）为行业监管、行政监察提供平台，接受市公共资源交易管理委员会办公室、行业主管部门、监管部门等各方监督，见证场内各类公共资源交易活动，记录、制止和纠正违反交易现场管理制度的行为，接受有关方面的投诉并按职责分工及时处理，建立入场各交易主体的现场交易信用和纪律档案。</w:t>
      </w:r>
    </w:p>
    <w:p w14:paraId="3096BAC3">
      <w:pPr>
        <w:spacing w:before="100" w:beforeLines="0" w:after="100" w:afterLines="0"/>
        <w:jc w:val="left"/>
        <w:rPr>
          <w:rFonts w:hint="eastAsia" w:ascii="仿宋" w:hAnsi="仿宋" w:eastAsia="仿宋" w:cs="仿宋"/>
          <w:color w:val="auto"/>
          <w:sz w:val="32"/>
          <w:szCs w:val="32"/>
          <w:lang w:val="zh-CN"/>
        </w:rPr>
      </w:pPr>
      <w:r>
        <w:rPr>
          <w:rFonts w:hint="eastAsia" w:ascii="仿宋" w:hAnsi="仿宋" w:eastAsia="仿宋" w:cs="仿宋"/>
          <w:sz w:val="32"/>
          <w:szCs w:val="32"/>
        </w:rPr>
        <w:t>（七）完成市政府和市公共资源交易管理委员会交办的其他事项。</w:t>
      </w:r>
    </w:p>
    <w:p w14:paraId="75A66AD2">
      <w:pPr>
        <w:spacing w:before="100" w:beforeLines="0" w:after="100" w:afterLines="0"/>
        <w:jc w:val="left"/>
        <w:rPr>
          <w:rFonts w:hint="eastAsia"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b/>
          <w:bCs/>
          <w:color w:val="auto"/>
          <w:sz w:val="32"/>
          <w:szCs w:val="32"/>
          <w:lang w:val="zh-CN"/>
        </w:rPr>
        <w:t>二、机构设置</w:t>
      </w:r>
    </w:p>
    <w:p w14:paraId="611A7C75">
      <w:pPr>
        <w:ind w:firstLine="640" w:firstLineChars="200"/>
        <w:rPr>
          <w:rFonts w:hint="eastAsia" w:ascii="仿宋" w:hAnsi="仿宋" w:eastAsia="仿宋" w:cs="仿宋"/>
          <w:sz w:val="32"/>
          <w:szCs w:val="32"/>
        </w:rPr>
      </w:pPr>
      <w:r>
        <w:rPr>
          <w:rFonts w:hint="eastAsia" w:ascii="仿宋" w:hAnsi="仿宋" w:eastAsia="仿宋" w:cs="仿宋"/>
          <w:sz w:val="32"/>
          <w:szCs w:val="32"/>
        </w:rPr>
        <w:t>本部门根据定西市机构编制委员会《关于定西市公共资源交易中心机构编制事宜的通知》（定机编委发[2013]82号）、《关于调整市公共资源交易中心内设机构的批复》（定机编委发[2016]72号），市公共资源交易中心内设综合办公室（法纪监督科）、市场客户服务科、技术信息科、工程建设科、政府及医药采购科（政府采购中心）、土地矿产及产权科和评审组织科7个科室。核定编制数34名，其中：主任1名，副主任2名、纪检组长1名，科级干部职数14名、科员及其他16名。</w:t>
      </w:r>
    </w:p>
    <w:p w14:paraId="0988D3C1">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202</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年，在编人员34人，其中：</w:t>
      </w:r>
      <w:r>
        <w:rPr>
          <w:rFonts w:hint="eastAsia" w:ascii="仿宋" w:hAnsi="仿宋" w:eastAsia="仿宋" w:cs="仿宋"/>
          <w:color w:val="auto"/>
          <w:sz w:val="32"/>
          <w:szCs w:val="32"/>
          <w:lang w:eastAsia="zh-CN"/>
        </w:rPr>
        <w:t>书记</w:t>
      </w:r>
      <w:r>
        <w:rPr>
          <w:rFonts w:hint="eastAsia" w:ascii="仿宋" w:hAnsi="仿宋" w:eastAsia="仿宋" w:cs="仿宋"/>
          <w:color w:val="auto"/>
          <w:sz w:val="32"/>
          <w:szCs w:val="32"/>
          <w:lang w:val="en-US" w:eastAsia="zh-CN"/>
        </w:rPr>
        <w:t>1名，</w:t>
      </w:r>
      <w:r>
        <w:rPr>
          <w:rFonts w:hint="eastAsia" w:ascii="仿宋" w:hAnsi="仿宋" w:eastAsia="仿宋" w:cs="仿宋"/>
          <w:color w:val="auto"/>
          <w:sz w:val="32"/>
          <w:szCs w:val="32"/>
        </w:rPr>
        <w:t>主任1名，</w:t>
      </w:r>
      <w:r>
        <w:rPr>
          <w:rFonts w:hint="eastAsia" w:ascii="仿宋" w:hAnsi="仿宋" w:eastAsia="仿宋" w:cs="仿宋"/>
          <w:color w:val="auto"/>
          <w:sz w:val="32"/>
          <w:szCs w:val="32"/>
          <w:lang w:eastAsia="zh-CN"/>
        </w:rPr>
        <w:t>四级</w:t>
      </w:r>
      <w:r>
        <w:rPr>
          <w:rFonts w:hint="eastAsia" w:ascii="仿宋" w:hAnsi="仿宋" w:eastAsia="仿宋" w:cs="仿宋"/>
          <w:color w:val="auto"/>
          <w:sz w:val="32"/>
          <w:szCs w:val="32"/>
        </w:rPr>
        <w:t>调研员2名，副主任2名，乡科级正职7名，一二级主任科员</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名，乡科级副职</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名，三四级主任科员</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名，一二级科员</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名，工勤人员3名。</w:t>
      </w:r>
    </w:p>
    <w:p w14:paraId="5A10BFCE">
      <w:pPr>
        <w:pStyle w:val="7"/>
        <w:spacing w:before="0" w:beforeAutospacing="0" w:after="0" w:afterAutospacing="0" w:line="600" w:lineRule="atLeast"/>
        <w:ind w:firstLine="480" w:firstLineChars="150"/>
        <w:jc w:val="both"/>
        <w:rPr>
          <w:rFonts w:hint="eastAsia" w:ascii="仿宋" w:hAnsi="仿宋" w:eastAsia="仿宋" w:cs="仿宋"/>
          <w:sz w:val="32"/>
          <w:szCs w:val="32"/>
        </w:rPr>
      </w:pPr>
      <w:r>
        <w:rPr>
          <w:rFonts w:hint="eastAsia" w:ascii="仿宋" w:hAnsi="仿宋" w:eastAsia="仿宋" w:cs="仿宋"/>
          <w:sz w:val="32"/>
          <w:szCs w:val="32"/>
        </w:rPr>
        <w:t>（一）综合办公室(法纪监督科)</w:t>
      </w:r>
    </w:p>
    <w:p w14:paraId="5AF19E06">
      <w:pPr>
        <w:pStyle w:val="7"/>
        <w:spacing w:before="0" w:beforeAutospacing="0" w:after="0" w:afterAutospacing="0" w:line="600" w:lineRule="atLeast"/>
        <w:ind w:firstLine="640"/>
        <w:jc w:val="both"/>
        <w:rPr>
          <w:rFonts w:hint="eastAsia" w:ascii="仿宋" w:hAnsi="仿宋" w:eastAsia="仿宋" w:cs="仿宋"/>
          <w:sz w:val="32"/>
          <w:szCs w:val="32"/>
        </w:rPr>
      </w:pPr>
      <w:r>
        <w:rPr>
          <w:rFonts w:hint="eastAsia" w:ascii="仿宋" w:hAnsi="仿宋" w:eastAsia="仿宋" w:cs="仿宋"/>
          <w:sz w:val="32"/>
          <w:szCs w:val="32"/>
        </w:rPr>
        <w:t>综合办公室：负责党务、政务、事务的综合协调工作；负责接待、信访和应急管理工作；负责财务管理工作；负责中心内部制度建设、信息宣传、起草综合性文件；负责督促落实各项工作的执行。</w:t>
      </w:r>
    </w:p>
    <w:p w14:paraId="2992EEFA">
      <w:pPr>
        <w:pStyle w:val="7"/>
        <w:spacing w:before="0" w:beforeAutospacing="0" w:after="0" w:afterAutospacing="0" w:line="600" w:lineRule="atLeast"/>
        <w:ind w:firstLine="640"/>
        <w:jc w:val="both"/>
        <w:rPr>
          <w:rFonts w:hint="eastAsia" w:ascii="仿宋" w:hAnsi="仿宋" w:eastAsia="仿宋" w:cs="仿宋"/>
          <w:sz w:val="32"/>
          <w:szCs w:val="32"/>
        </w:rPr>
      </w:pPr>
      <w:r>
        <w:rPr>
          <w:rFonts w:hint="eastAsia" w:ascii="仿宋" w:hAnsi="仿宋" w:eastAsia="仿宋" w:cs="仿宋"/>
          <w:sz w:val="32"/>
          <w:szCs w:val="32"/>
        </w:rPr>
        <w:t>法纪监督科：负责提供公共资源交易相关法律法规咨询服务，组织干部职工进行法律法规培训教育；负责研究制订有关管理制度和办法；负责做好重点岗位、日常行为、执行纪律、执行规章制度等单位内部监督；负责受理交易现场的投诉举报，配合有关部门调查处理交易活动中出现的违法违规问题。</w:t>
      </w:r>
    </w:p>
    <w:p w14:paraId="347A0138">
      <w:pPr>
        <w:pStyle w:val="7"/>
        <w:spacing w:before="0" w:beforeAutospacing="0" w:after="0" w:afterAutospacing="0" w:line="600" w:lineRule="atLeast"/>
        <w:ind w:firstLine="600"/>
        <w:jc w:val="both"/>
        <w:rPr>
          <w:rFonts w:hint="eastAsia" w:ascii="仿宋" w:hAnsi="仿宋" w:eastAsia="仿宋" w:cs="仿宋"/>
          <w:sz w:val="32"/>
          <w:szCs w:val="32"/>
        </w:rPr>
      </w:pPr>
      <w:r>
        <w:rPr>
          <w:rFonts w:hint="eastAsia" w:ascii="仿宋" w:hAnsi="仿宋" w:eastAsia="仿宋" w:cs="仿宋"/>
          <w:sz w:val="32"/>
          <w:szCs w:val="32"/>
        </w:rPr>
        <w:t>（二）市场客户服务科</w:t>
      </w:r>
    </w:p>
    <w:p w14:paraId="1A258FA0">
      <w:pPr>
        <w:pStyle w:val="7"/>
        <w:spacing w:before="0" w:beforeAutospacing="0" w:after="0" w:afterAutospacing="0" w:line="600" w:lineRule="atLeast"/>
        <w:ind w:firstLine="640"/>
        <w:jc w:val="both"/>
        <w:rPr>
          <w:rFonts w:hint="eastAsia" w:ascii="仿宋" w:hAnsi="仿宋" w:eastAsia="仿宋" w:cs="仿宋"/>
          <w:sz w:val="32"/>
          <w:szCs w:val="32"/>
        </w:rPr>
      </w:pPr>
      <w:r>
        <w:rPr>
          <w:rFonts w:hint="eastAsia" w:ascii="仿宋" w:hAnsi="仿宋" w:eastAsia="仿宋" w:cs="仿宋"/>
          <w:sz w:val="32"/>
          <w:szCs w:val="32"/>
        </w:rPr>
        <w:t>负责中介机构、评标专家的培训、日常管理和考核评价；负责企业信息网上登记；负责交易项目开评标的时间、场地安排；负责各类项目的开标组织和服务；负责管理维护开标现场秩序。</w:t>
      </w:r>
    </w:p>
    <w:p w14:paraId="5ACB1633">
      <w:pPr>
        <w:pStyle w:val="7"/>
        <w:spacing w:before="0" w:beforeAutospacing="0" w:after="0" w:afterAutospacing="0" w:line="600" w:lineRule="atLeast"/>
        <w:ind w:firstLine="600"/>
        <w:jc w:val="both"/>
        <w:rPr>
          <w:rFonts w:hint="eastAsia" w:ascii="仿宋" w:hAnsi="仿宋" w:eastAsia="仿宋" w:cs="仿宋"/>
          <w:sz w:val="32"/>
          <w:szCs w:val="32"/>
        </w:rPr>
      </w:pPr>
      <w:r>
        <w:rPr>
          <w:rFonts w:hint="eastAsia" w:ascii="仿宋" w:hAnsi="仿宋" w:eastAsia="仿宋" w:cs="仿宋"/>
          <w:sz w:val="32"/>
          <w:szCs w:val="32"/>
        </w:rPr>
        <w:t>（三）技术信息科</w:t>
      </w:r>
    </w:p>
    <w:p w14:paraId="11E29D5D">
      <w:pPr>
        <w:pStyle w:val="7"/>
        <w:spacing w:before="0" w:beforeAutospacing="0" w:after="0" w:afterAutospacing="0" w:line="600" w:lineRule="atLeast"/>
        <w:ind w:firstLine="640"/>
        <w:jc w:val="both"/>
        <w:rPr>
          <w:rFonts w:hint="eastAsia" w:ascii="仿宋" w:hAnsi="仿宋" w:eastAsia="仿宋" w:cs="仿宋"/>
          <w:sz w:val="32"/>
          <w:szCs w:val="32"/>
        </w:rPr>
      </w:pPr>
      <w:r>
        <w:rPr>
          <w:rFonts w:hint="eastAsia" w:ascii="仿宋" w:hAnsi="仿宋" w:eastAsia="仿宋" w:cs="仿宋"/>
          <w:sz w:val="32"/>
          <w:szCs w:val="32"/>
        </w:rPr>
        <w:t>负责市级公共资源交易信息化平台的建设、管理和维护；负责市公共资源交易中心网站的更新和管理；负责收集、存储、发布各类交易信息和交易主体不良信息；负责评标专家库系统建设和运行维护；负责评标专家抽取的操控工作；负责为各方主体提供信息咨询服务；负责交易档案管理；负责统计分析交易情况。</w:t>
      </w:r>
    </w:p>
    <w:p w14:paraId="0A568255">
      <w:pPr>
        <w:pStyle w:val="7"/>
        <w:spacing w:before="0" w:beforeAutospacing="0" w:after="0" w:afterAutospacing="0" w:line="600" w:lineRule="atLeast"/>
        <w:ind w:firstLine="600"/>
        <w:jc w:val="both"/>
        <w:rPr>
          <w:rFonts w:hint="eastAsia" w:ascii="仿宋" w:hAnsi="仿宋" w:eastAsia="仿宋" w:cs="仿宋"/>
          <w:sz w:val="32"/>
          <w:szCs w:val="32"/>
        </w:rPr>
      </w:pPr>
      <w:r>
        <w:rPr>
          <w:rFonts w:hint="eastAsia" w:ascii="仿宋" w:hAnsi="仿宋" w:eastAsia="仿宋" w:cs="仿宋"/>
          <w:sz w:val="32"/>
          <w:szCs w:val="32"/>
        </w:rPr>
        <w:t>（四）工程建设科</w:t>
      </w:r>
    </w:p>
    <w:p w14:paraId="2A225FCD">
      <w:pPr>
        <w:pStyle w:val="7"/>
        <w:spacing w:before="0" w:beforeAutospacing="0" w:after="0" w:afterAutospacing="0" w:line="600" w:lineRule="atLeast"/>
        <w:ind w:firstLine="640"/>
        <w:jc w:val="both"/>
        <w:rPr>
          <w:rFonts w:hint="eastAsia" w:ascii="仿宋" w:hAnsi="仿宋" w:eastAsia="仿宋" w:cs="仿宋"/>
          <w:sz w:val="32"/>
          <w:szCs w:val="32"/>
        </w:rPr>
      </w:pPr>
      <w:r>
        <w:rPr>
          <w:rFonts w:hint="eastAsia" w:ascii="仿宋" w:hAnsi="仿宋" w:eastAsia="仿宋" w:cs="仿宋"/>
          <w:sz w:val="32"/>
          <w:szCs w:val="32"/>
        </w:rPr>
        <w:t>负责为进场的交易各方主体提供现场咨询服务；负责工程建设类项目的进场受理登记、交易资料、资质资格、交易方式的复核确认工作；负责协调各方做好交易服务工作。</w:t>
      </w:r>
    </w:p>
    <w:p w14:paraId="3A6A7C36">
      <w:pPr>
        <w:pStyle w:val="7"/>
        <w:spacing w:before="0" w:beforeAutospacing="0" w:after="0" w:afterAutospacing="0" w:line="600" w:lineRule="atLeast"/>
        <w:ind w:firstLine="600"/>
        <w:jc w:val="both"/>
        <w:rPr>
          <w:rFonts w:hint="eastAsia" w:ascii="仿宋" w:hAnsi="仿宋" w:eastAsia="仿宋" w:cs="仿宋"/>
          <w:sz w:val="32"/>
          <w:szCs w:val="32"/>
        </w:rPr>
      </w:pPr>
      <w:r>
        <w:rPr>
          <w:rFonts w:hint="eastAsia" w:ascii="仿宋" w:hAnsi="仿宋" w:eastAsia="仿宋" w:cs="仿宋"/>
          <w:sz w:val="32"/>
          <w:szCs w:val="32"/>
        </w:rPr>
        <w:t>（五）政府及医药采购科（定西市政府采购中心）</w:t>
      </w:r>
    </w:p>
    <w:p w14:paraId="429BE120">
      <w:pPr>
        <w:pStyle w:val="7"/>
        <w:spacing w:before="0" w:beforeAutospacing="0" w:after="0" w:afterAutospacing="0" w:line="600" w:lineRule="atLeast"/>
        <w:ind w:firstLine="640"/>
        <w:jc w:val="both"/>
        <w:rPr>
          <w:rFonts w:hint="eastAsia" w:ascii="仿宋" w:hAnsi="仿宋" w:eastAsia="仿宋" w:cs="仿宋"/>
          <w:sz w:val="32"/>
          <w:szCs w:val="32"/>
        </w:rPr>
      </w:pPr>
      <w:r>
        <w:rPr>
          <w:rFonts w:hint="eastAsia" w:ascii="仿宋" w:hAnsi="仿宋" w:eastAsia="仿宋" w:cs="仿宋"/>
          <w:sz w:val="32"/>
          <w:szCs w:val="32"/>
        </w:rPr>
        <w:t>负责为进场的交易各方主体提供现场咨询服务；负责各类政府采购、医疗器械采购项目的进场受理登记、交易资料、资质资格、交易方式的复核确认工作；负责协调各方做好交易服务工作；负责政府集中采购项目的代理工作。</w:t>
      </w:r>
    </w:p>
    <w:p w14:paraId="48DC8280">
      <w:pPr>
        <w:pStyle w:val="7"/>
        <w:spacing w:before="0" w:beforeAutospacing="0" w:after="0" w:afterAutospacing="0" w:line="600" w:lineRule="atLeast"/>
        <w:ind w:firstLine="600"/>
        <w:jc w:val="both"/>
        <w:rPr>
          <w:rFonts w:hint="eastAsia" w:ascii="仿宋" w:hAnsi="仿宋" w:eastAsia="仿宋" w:cs="仿宋"/>
          <w:sz w:val="32"/>
          <w:szCs w:val="32"/>
        </w:rPr>
      </w:pPr>
      <w:r>
        <w:rPr>
          <w:rFonts w:hint="eastAsia" w:ascii="仿宋" w:hAnsi="仿宋" w:eastAsia="仿宋" w:cs="仿宋"/>
          <w:sz w:val="32"/>
          <w:szCs w:val="32"/>
        </w:rPr>
        <w:t>（六）土地矿产及产权科</w:t>
      </w:r>
    </w:p>
    <w:p w14:paraId="55E8E679">
      <w:pPr>
        <w:pStyle w:val="7"/>
        <w:spacing w:before="0" w:beforeAutospacing="0" w:after="0" w:afterAutospacing="0" w:line="600" w:lineRule="atLeast"/>
        <w:ind w:firstLine="600"/>
        <w:jc w:val="both"/>
        <w:rPr>
          <w:rFonts w:hint="eastAsia" w:ascii="仿宋" w:hAnsi="仿宋" w:eastAsia="仿宋" w:cs="仿宋"/>
          <w:sz w:val="32"/>
          <w:szCs w:val="32"/>
        </w:rPr>
      </w:pPr>
      <w:r>
        <w:rPr>
          <w:rFonts w:hint="eastAsia" w:ascii="仿宋" w:hAnsi="仿宋" w:eastAsia="仿宋" w:cs="仿宋"/>
          <w:sz w:val="32"/>
          <w:szCs w:val="32"/>
        </w:rPr>
        <w:t>负责为进场的交易各方主体提供现场咨询服务；负责国土资源、矿业权以及国有产权项目的进场受理登记、交易资料、资质资格、交易方式的复核确认工作；负责国土资源、矿业权以及国有产权项目的招拍挂组织和服务；负责协调各方做好交易服务工作；</w:t>
      </w:r>
    </w:p>
    <w:p w14:paraId="261261B9">
      <w:pPr>
        <w:pStyle w:val="7"/>
        <w:spacing w:before="0" w:beforeAutospacing="0" w:after="0" w:afterAutospacing="0" w:line="600" w:lineRule="atLeast"/>
        <w:ind w:firstLine="600"/>
        <w:jc w:val="both"/>
        <w:rPr>
          <w:rFonts w:hint="eastAsia" w:ascii="仿宋" w:hAnsi="仿宋" w:eastAsia="仿宋" w:cs="仿宋"/>
          <w:sz w:val="32"/>
          <w:szCs w:val="32"/>
        </w:rPr>
      </w:pPr>
      <w:r>
        <w:rPr>
          <w:rFonts w:hint="eastAsia" w:ascii="仿宋" w:hAnsi="仿宋" w:eastAsia="仿宋" w:cs="仿宋"/>
          <w:sz w:val="32"/>
          <w:szCs w:val="32"/>
        </w:rPr>
        <w:t>（七）评审组织科</w:t>
      </w:r>
    </w:p>
    <w:p w14:paraId="32207871">
      <w:pPr>
        <w:pStyle w:val="7"/>
        <w:spacing w:before="0" w:beforeAutospacing="0" w:after="0" w:afterAutospacing="0" w:line="600" w:lineRule="atLeast"/>
        <w:ind w:firstLine="600"/>
        <w:jc w:val="both"/>
        <w:rPr>
          <w:rFonts w:hint="eastAsia" w:ascii="仿宋" w:hAnsi="仿宋" w:eastAsia="仿宋" w:cs="仿宋"/>
          <w:color w:val="auto"/>
          <w:sz w:val="32"/>
          <w:szCs w:val="32"/>
          <w:lang w:val="zh-CN"/>
        </w:rPr>
      </w:pPr>
      <w:r>
        <w:rPr>
          <w:rFonts w:hint="eastAsia" w:ascii="仿宋" w:hAnsi="仿宋" w:eastAsia="仿宋" w:cs="仿宋"/>
          <w:sz w:val="32"/>
          <w:szCs w:val="32"/>
        </w:rPr>
        <w:t>负责各类交易活动的评审组织联络工作；负责见证、监督评标全过程，维护评标现场秩序，记录评标专家不良行为；负责发布评标委员会评审结果公示和中标公示；负责交易资料的收集、整理。</w:t>
      </w:r>
    </w:p>
    <w:p w14:paraId="0A3E657E">
      <w:pPr>
        <w:spacing w:before="100" w:beforeLines="0" w:after="100" w:afterLines="0"/>
        <w:jc w:val="center"/>
        <w:rPr>
          <w:rFonts w:hint="eastAsia" w:asciiTheme="majorEastAsia" w:hAnsiTheme="majorEastAsia" w:eastAsiaTheme="majorEastAsia" w:cstheme="majorEastAsia"/>
          <w:color w:val="auto"/>
          <w:sz w:val="32"/>
          <w:szCs w:val="32"/>
          <w:lang w:val="zh-CN"/>
        </w:rPr>
      </w:pPr>
      <w:r>
        <w:rPr>
          <w:rFonts w:hint="eastAsia" w:asciiTheme="majorEastAsia" w:hAnsiTheme="majorEastAsia" w:eastAsiaTheme="majorEastAsia" w:cstheme="majorEastAsia"/>
          <w:b/>
          <w:color w:val="auto"/>
          <w:sz w:val="32"/>
          <w:szCs w:val="32"/>
          <w:lang w:val="zh-CN"/>
        </w:rPr>
        <w:t>第二部分2022年度部门决算表</w:t>
      </w:r>
    </w:p>
    <w:p w14:paraId="3A89252A">
      <w:pPr>
        <w:spacing w:before="100" w:beforeLines="0" w:after="100" w:afterLines="0"/>
        <w:jc w:val="left"/>
        <w:rPr>
          <w:rFonts w:hint="eastAsia" w:asciiTheme="majorEastAsia" w:hAnsiTheme="majorEastAsia" w:eastAsiaTheme="majorEastAsia" w:cstheme="majorEastAsia"/>
          <w:color w:val="auto"/>
          <w:sz w:val="32"/>
          <w:szCs w:val="32"/>
          <w:lang w:val="zh-CN"/>
        </w:rPr>
      </w:pPr>
      <w:r>
        <w:rPr>
          <w:rFonts w:hint="eastAsia" w:asciiTheme="majorEastAsia" w:hAnsiTheme="majorEastAsia" w:eastAsiaTheme="majorEastAsia" w:cstheme="majorEastAsia"/>
          <w:color w:val="auto"/>
          <w:sz w:val="32"/>
          <w:szCs w:val="32"/>
          <w:lang w:val="zh-CN"/>
        </w:rPr>
        <w:t>一、收入支出决算总表</w:t>
      </w:r>
    </w:p>
    <w:p w14:paraId="345B8241">
      <w:pPr>
        <w:spacing w:before="100" w:beforeLines="0" w:after="100" w:afterLines="0"/>
        <w:jc w:val="left"/>
        <w:rPr>
          <w:rFonts w:hint="eastAsia" w:asciiTheme="majorEastAsia" w:hAnsiTheme="majorEastAsia" w:eastAsiaTheme="majorEastAsia" w:cstheme="majorEastAsia"/>
          <w:color w:val="auto"/>
          <w:sz w:val="32"/>
          <w:szCs w:val="32"/>
          <w:lang w:val="zh-CN"/>
        </w:rPr>
      </w:pPr>
      <w:r>
        <w:rPr>
          <w:rFonts w:hint="eastAsia" w:asciiTheme="majorEastAsia" w:hAnsiTheme="majorEastAsia" w:eastAsiaTheme="majorEastAsia" w:cstheme="majorEastAsia"/>
          <w:color w:val="auto"/>
          <w:sz w:val="32"/>
          <w:szCs w:val="32"/>
          <w:lang w:val="zh-CN"/>
        </w:rPr>
        <w:t>二、收入决算表</w:t>
      </w:r>
    </w:p>
    <w:p w14:paraId="2501CABA">
      <w:pPr>
        <w:spacing w:before="100" w:beforeLines="0" w:after="100" w:afterLines="0"/>
        <w:jc w:val="left"/>
        <w:rPr>
          <w:rFonts w:hint="eastAsia" w:asciiTheme="majorEastAsia" w:hAnsiTheme="majorEastAsia" w:eastAsiaTheme="majorEastAsia" w:cstheme="majorEastAsia"/>
          <w:color w:val="auto"/>
          <w:sz w:val="32"/>
          <w:szCs w:val="32"/>
          <w:lang w:val="zh-CN"/>
        </w:rPr>
      </w:pPr>
      <w:r>
        <w:rPr>
          <w:rFonts w:hint="eastAsia" w:asciiTheme="majorEastAsia" w:hAnsiTheme="majorEastAsia" w:eastAsiaTheme="majorEastAsia" w:cstheme="majorEastAsia"/>
          <w:color w:val="auto"/>
          <w:sz w:val="32"/>
          <w:szCs w:val="32"/>
          <w:lang w:val="zh-CN"/>
        </w:rPr>
        <w:t>三、支出决算表</w:t>
      </w:r>
    </w:p>
    <w:p w14:paraId="66C5CACD">
      <w:pPr>
        <w:spacing w:before="100" w:beforeLines="0" w:after="100" w:afterLines="0"/>
        <w:jc w:val="left"/>
        <w:rPr>
          <w:rFonts w:hint="eastAsia" w:asciiTheme="majorEastAsia" w:hAnsiTheme="majorEastAsia" w:eastAsiaTheme="majorEastAsia" w:cstheme="majorEastAsia"/>
          <w:color w:val="auto"/>
          <w:sz w:val="32"/>
          <w:szCs w:val="32"/>
          <w:lang w:val="zh-CN"/>
        </w:rPr>
      </w:pPr>
      <w:r>
        <w:rPr>
          <w:rFonts w:hint="eastAsia" w:asciiTheme="majorEastAsia" w:hAnsiTheme="majorEastAsia" w:eastAsiaTheme="majorEastAsia" w:cstheme="majorEastAsia"/>
          <w:color w:val="auto"/>
          <w:sz w:val="32"/>
          <w:szCs w:val="32"/>
          <w:lang w:val="zh-CN"/>
        </w:rPr>
        <w:t>四、财政拨款收入支出决算总表</w:t>
      </w:r>
    </w:p>
    <w:p w14:paraId="1072C3CB">
      <w:pPr>
        <w:spacing w:before="100" w:beforeLines="0" w:after="100" w:afterLines="0"/>
        <w:jc w:val="left"/>
        <w:rPr>
          <w:rFonts w:hint="eastAsia" w:asciiTheme="majorEastAsia" w:hAnsiTheme="majorEastAsia" w:eastAsiaTheme="majorEastAsia" w:cstheme="majorEastAsia"/>
          <w:color w:val="auto"/>
          <w:sz w:val="32"/>
          <w:szCs w:val="32"/>
          <w:lang w:val="zh-CN"/>
        </w:rPr>
      </w:pPr>
      <w:r>
        <w:rPr>
          <w:rFonts w:hint="eastAsia" w:asciiTheme="majorEastAsia" w:hAnsiTheme="majorEastAsia" w:eastAsiaTheme="majorEastAsia" w:cstheme="majorEastAsia"/>
          <w:color w:val="auto"/>
          <w:sz w:val="32"/>
          <w:szCs w:val="32"/>
          <w:lang w:val="zh-CN"/>
        </w:rPr>
        <w:t>五、一般公共预算财政拨款支出决算表</w:t>
      </w:r>
    </w:p>
    <w:p w14:paraId="2DD024DB">
      <w:pPr>
        <w:spacing w:before="100" w:beforeLines="0" w:after="100" w:afterLines="0"/>
        <w:jc w:val="left"/>
        <w:rPr>
          <w:rFonts w:hint="eastAsia" w:asciiTheme="majorEastAsia" w:hAnsiTheme="majorEastAsia" w:eastAsiaTheme="majorEastAsia" w:cstheme="majorEastAsia"/>
          <w:color w:val="auto"/>
          <w:sz w:val="32"/>
          <w:szCs w:val="32"/>
          <w:lang w:val="zh-CN"/>
        </w:rPr>
      </w:pPr>
      <w:r>
        <w:rPr>
          <w:rFonts w:hint="eastAsia" w:asciiTheme="majorEastAsia" w:hAnsiTheme="majorEastAsia" w:eastAsiaTheme="majorEastAsia" w:cstheme="majorEastAsia"/>
          <w:color w:val="auto"/>
          <w:sz w:val="32"/>
          <w:szCs w:val="32"/>
          <w:lang w:val="zh-CN"/>
        </w:rPr>
        <w:t>六、一般公共预算财政拨款基本支出决算明细表</w:t>
      </w:r>
    </w:p>
    <w:p w14:paraId="125908CE">
      <w:pPr>
        <w:spacing w:before="100" w:beforeLines="0" w:after="100" w:afterLines="0"/>
        <w:jc w:val="left"/>
        <w:rPr>
          <w:rFonts w:hint="eastAsia" w:asciiTheme="majorEastAsia" w:hAnsiTheme="majorEastAsia" w:eastAsiaTheme="majorEastAsia" w:cstheme="majorEastAsia"/>
          <w:color w:val="auto"/>
          <w:sz w:val="32"/>
          <w:szCs w:val="32"/>
          <w:lang w:val="zh-CN"/>
        </w:rPr>
      </w:pPr>
      <w:r>
        <w:rPr>
          <w:rFonts w:hint="eastAsia" w:asciiTheme="majorEastAsia" w:hAnsiTheme="majorEastAsia" w:eastAsiaTheme="majorEastAsia" w:cstheme="majorEastAsia"/>
          <w:color w:val="auto"/>
          <w:sz w:val="32"/>
          <w:szCs w:val="32"/>
          <w:lang w:val="zh-CN"/>
        </w:rPr>
        <w:t>七、政府性基金预算财政拨款收入支出决算表（</w:t>
      </w:r>
      <w:r>
        <w:rPr>
          <w:rFonts w:hint="eastAsia" w:ascii="宋体" w:hAnsi="宋体"/>
          <w:color w:val="auto"/>
          <w:sz w:val="24"/>
          <w:szCs w:val="24"/>
          <w:lang w:val="zh-CN"/>
        </w:rPr>
        <w:t>本部门没有相关数据,故本表无数据</w:t>
      </w:r>
      <w:r>
        <w:rPr>
          <w:rFonts w:hint="eastAsia" w:asciiTheme="majorEastAsia" w:hAnsiTheme="majorEastAsia" w:eastAsiaTheme="majorEastAsia" w:cstheme="majorEastAsia"/>
          <w:color w:val="auto"/>
          <w:sz w:val="32"/>
          <w:szCs w:val="32"/>
          <w:lang w:val="zh-CN"/>
        </w:rPr>
        <w:t>）</w:t>
      </w:r>
    </w:p>
    <w:p w14:paraId="606596CF">
      <w:pPr>
        <w:spacing w:before="100" w:beforeLines="0" w:after="100" w:afterLines="0"/>
        <w:jc w:val="left"/>
        <w:rPr>
          <w:rFonts w:hint="eastAsia" w:asciiTheme="majorEastAsia" w:hAnsiTheme="majorEastAsia" w:eastAsiaTheme="majorEastAsia" w:cstheme="majorEastAsia"/>
          <w:color w:val="auto"/>
          <w:sz w:val="32"/>
          <w:szCs w:val="32"/>
          <w:lang w:val="zh-CN"/>
        </w:rPr>
      </w:pPr>
      <w:r>
        <w:rPr>
          <w:rFonts w:hint="eastAsia" w:asciiTheme="majorEastAsia" w:hAnsiTheme="majorEastAsia" w:eastAsiaTheme="majorEastAsia" w:cstheme="majorEastAsia"/>
          <w:color w:val="auto"/>
          <w:sz w:val="32"/>
          <w:szCs w:val="32"/>
          <w:lang w:val="zh-CN"/>
        </w:rPr>
        <w:t>八、国有资本经营预算财政拨款支出决算表（</w:t>
      </w:r>
      <w:r>
        <w:rPr>
          <w:rFonts w:hint="eastAsia" w:ascii="宋体" w:hAnsi="宋体"/>
          <w:color w:val="auto"/>
          <w:sz w:val="24"/>
          <w:szCs w:val="24"/>
          <w:lang w:val="zh-CN"/>
        </w:rPr>
        <w:t>本部门没有相关数据,故本表无数据</w:t>
      </w:r>
      <w:r>
        <w:rPr>
          <w:rFonts w:hint="eastAsia" w:asciiTheme="majorEastAsia" w:hAnsiTheme="majorEastAsia" w:eastAsiaTheme="majorEastAsia" w:cstheme="majorEastAsia"/>
          <w:color w:val="auto"/>
          <w:sz w:val="32"/>
          <w:szCs w:val="32"/>
          <w:lang w:val="zh-CN"/>
        </w:rPr>
        <w:t>）</w:t>
      </w:r>
    </w:p>
    <w:p w14:paraId="2DDC21AD">
      <w:pPr>
        <w:spacing w:before="100" w:beforeLines="0" w:after="100" w:afterLines="0"/>
        <w:jc w:val="left"/>
        <w:rPr>
          <w:rFonts w:hint="eastAsia" w:asciiTheme="majorEastAsia" w:hAnsiTheme="majorEastAsia" w:eastAsiaTheme="majorEastAsia" w:cstheme="majorEastAsia"/>
          <w:color w:val="auto"/>
          <w:sz w:val="32"/>
          <w:szCs w:val="32"/>
          <w:highlight w:val="none"/>
          <w:lang w:val="zh-CN"/>
        </w:rPr>
      </w:pPr>
      <w:r>
        <w:rPr>
          <w:rFonts w:hint="eastAsia" w:asciiTheme="majorEastAsia" w:hAnsiTheme="majorEastAsia" w:eastAsiaTheme="majorEastAsia" w:cstheme="majorEastAsia"/>
          <w:color w:val="auto"/>
          <w:sz w:val="32"/>
          <w:szCs w:val="32"/>
          <w:highlight w:val="none"/>
          <w:lang w:val="zh-CN"/>
        </w:rPr>
        <w:t>九、财政拨款“三公”经费支出决算表</w:t>
      </w:r>
    </w:p>
    <w:p w14:paraId="2E45A087">
      <w:pPr>
        <w:pStyle w:val="2"/>
        <w:rPr>
          <w:rFonts w:hint="eastAsia" w:ascii="宋体" w:hAnsi="宋体" w:eastAsia="宋体" w:cstheme="minorBidi"/>
          <w:b w:val="0"/>
          <w:color w:val="auto"/>
          <w:kern w:val="2"/>
          <w:sz w:val="24"/>
          <w:szCs w:val="24"/>
          <w:highlight w:val="none"/>
          <w:lang w:val="zh-CN"/>
        </w:rPr>
      </w:pPr>
      <w:r>
        <w:rPr>
          <w:rFonts w:hint="eastAsia" w:ascii="宋体" w:hAnsi="宋体" w:eastAsia="宋体" w:cstheme="minorBidi"/>
          <w:b w:val="0"/>
          <w:color w:val="auto"/>
          <w:kern w:val="2"/>
          <w:sz w:val="24"/>
          <w:szCs w:val="24"/>
          <w:highlight w:val="none"/>
          <w:lang w:val="zh-CN"/>
        </w:rPr>
        <w:t>（以上内容见附件）</w:t>
      </w:r>
    </w:p>
    <w:p w14:paraId="142C4D54">
      <w:pPr>
        <w:spacing w:before="100" w:beforeLines="0" w:after="100" w:afterLines="0"/>
        <w:jc w:val="center"/>
        <w:rPr>
          <w:rFonts w:hint="eastAsia" w:asciiTheme="majorEastAsia" w:hAnsiTheme="majorEastAsia" w:eastAsiaTheme="majorEastAsia" w:cstheme="majorEastAsia"/>
          <w:color w:val="auto"/>
          <w:sz w:val="32"/>
          <w:szCs w:val="32"/>
          <w:lang w:val="zh-CN"/>
        </w:rPr>
      </w:pPr>
      <w:r>
        <w:rPr>
          <w:rFonts w:hint="eastAsia" w:asciiTheme="majorEastAsia" w:hAnsiTheme="majorEastAsia" w:eastAsiaTheme="majorEastAsia" w:cstheme="majorEastAsia"/>
          <w:b/>
          <w:color w:val="auto"/>
          <w:sz w:val="32"/>
          <w:szCs w:val="32"/>
          <w:lang w:val="zh-CN"/>
        </w:rPr>
        <w:t>第三部分2022年度部门决算情况说明</w:t>
      </w:r>
    </w:p>
    <w:p w14:paraId="72EF733B">
      <w:pPr>
        <w:spacing w:before="100" w:beforeLines="0" w:after="100" w:afterLines="0"/>
        <w:jc w:val="left"/>
        <w:rPr>
          <w:rFonts w:hint="eastAsia"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b/>
          <w:bCs/>
          <w:color w:val="auto"/>
          <w:sz w:val="32"/>
          <w:szCs w:val="32"/>
          <w:lang w:val="zh-CN"/>
        </w:rPr>
        <w:t>一、收入支出决算总体情况说明</w:t>
      </w:r>
    </w:p>
    <w:p w14:paraId="00A55412">
      <w:pPr>
        <w:spacing w:before="100" w:beforeLines="0" w:after="100" w:afterLines="0"/>
        <w:ind w:firstLine="640" w:firstLineChars="200"/>
        <w:jc w:val="left"/>
        <w:rPr>
          <w:rFonts w:hint="eastAsia" w:ascii="仿宋" w:hAnsi="仿宋" w:eastAsia="仿宋" w:cs="仿宋"/>
          <w:color w:val="auto"/>
          <w:sz w:val="32"/>
          <w:szCs w:val="32"/>
          <w:lang w:val="zh-CN" w:eastAsia="zh-CN"/>
        </w:rPr>
      </w:pPr>
      <w:r>
        <w:rPr>
          <w:rFonts w:hint="eastAsia" w:ascii="仿宋" w:hAnsi="仿宋" w:eastAsia="仿宋" w:cs="仿宋"/>
          <w:color w:val="auto"/>
          <w:sz w:val="32"/>
          <w:szCs w:val="32"/>
          <w:lang w:val="zh-CN"/>
        </w:rPr>
        <w:t>2022年度收、支总计</w:t>
      </w:r>
      <w:r>
        <w:rPr>
          <w:rFonts w:hint="eastAsia" w:ascii="仿宋" w:hAnsi="仿宋" w:eastAsia="仿宋" w:cs="仿宋"/>
          <w:color w:val="auto"/>
          <w:sz w:val="32"/>
          <w:szCs w:val="32"/>
          <w:lang w:val="en-US"/>
        </w:rPr>
        <w:t>均为</w:t>
      </w:r>
      <w:r>
        <w:rPr>
          <w:rFonts w:hint="eastAsia" w:ascii="仿宋" w:hAnsi="仿宋" w:eastAsia="仿宋" w:cs="仿宋"/>
          <w:color w:val="auto"/>
          <w:sz w:val="32"/>
          <w:szCs w:val="32"/>
          <w:lang w:val="zh-CN"/>
        </w:rPr>
        <w:t>1054.90万元。</w:t>
      </w:r>
      <w:r>
        <w:rPr>
          <w:rFonts w:hint="eastAsia" w:ascii="仿宋" w:hAnsi="仿宋" w:eastAsia="仿宋" w:cs="仿宋"/>
          <w:color w:val="auto"/>
          <w:sz w:val="32"/>
          <w:szCs w:val="32"/>
          <w:lang w:val="en-US"/>
        </w:rPr>
        <w:t>与上年度相比,</w:t>
      </w:r>
      <w:r>
        <w:rPr>
          <w:rFonts w:hint="eastAsia" w:ascii="仿宋" w:hAnsi="仿宋" w:eastAsia="仿宋" w:cs="仿宋"/>
          <w:color w:val="auto"/>
          <w:sz w:val="32"/>
          <w:szCs w:val="32"/>
          <w:lang w:val="zh-CN"/>
        </w:rPr>
        <w:t>收、支</w:t>
      </w:r>
      <w:r>
        <w:rPr>
          <w:rFonts w:hint="eastAsia" w:ascii="仿宋" w:hAnsi="仿宋" w:eastAsia="仿宋" w:cs="仿宋"/>
          <w:color w:val="auto"/>
          <w:sz w:val="32"/>
          <w:szCs w:val="32"/>
          <w:lang w:val="en-US"/>
        </w:rPr>
        <w:t>总计各</w:t>
      </w:r>
      <w:r>
        <w:rPr>
          <w:rFonts w:hint="eastAsia" w:ascii="仿宋" w:hAnsi="仿宋" w:eastAsia="仿宋" w:cs="仿宋"/>
          <w:color w:val="auto"/>
          <w:sz w:val="32"/>
          <w:szCs w:val="32"/>
          <w:lang w:val="zh-CN"/>
        </w:rPr>
        <w:t>增加68.88万元,增长6.99%,主要原因是</w:t>
      </w:r>
      <w:r>
        <w:rPr>
          <w:rFonts w:hint="eastAsia" w:ascii="仿宋" w:hAnsi="仿宋" w:eastAsia="仿宋" w:cs="仿宋"/>
          <w:color w:val="auto"/>
          <w:sz w:val="32"/>
          <w:szCs w:val="32"/>
          <w:lang w:val="zh-CN" w:eastAsia="zh-CN"/>
        </w:rPr>
        <w:t>本年度人员经费增加，和年底追加交易系统及金融一体化平台建设经费。</w:t>
      </w:r>
    </w:p>
    <w:p w14:paraId="3C196CE7">
      <w:pPr>
        <w:spacing w:before="100" w:beforeLines="0" w:after="100" w:afterLines="0"/>
        <w:jc w:val="left"/>
        <w:rPr>
          <w:rFonts w:hint="eastAsia"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b/>
          <w:bCs/>
          <w:color w:val="auto"/>
          <w:sz w:val="32"/>
          <w:szCs w:val="32"/>
          <w:lang w:val="zh-CN"/>
        </w:rPr>
        <w:t>二、收入决算情况说明</w:t>
      </w:r>
    </w:p>
    <w:p w14:paraId="0830EDF9">
      <w:pPr>
        <w:spacing w:before="100" w:beforeLines="0" w:after="100" w:afterLines="0"/>
        <w:ind w:firstLine="640" w:firstLineChars="200"/>
        <w:jc w:val="left"/>
        <w:rPr>
          <w:rFonts w:hint="eastAsia" w:ascii="仿宋" w:hAnsi="仿宋" w:eastAsia="仿宋" w:cs="仿宋"/>
          <w:color w:val="auto"/>
          <w:sz w:val="32"/>
          <w:szCs w:val="32"/>
          <w:lang w:val="zh-CN" w:eastAsia="zh-CN"/>
        </w:rPr>
      </w:pPr>
      <w:r>
        <w:rPr>
          <w:rFonts w:hint="eastAsia" w:ascii="仿宋" w:hAnsi="仿宋" w:eastAsia="仿宋" w:cs="仿宋"/>
          <w:color w:val="auto"/>
          <w:sz w:val="32"/>
          <w:szCs w:val="32"/>
          <w:lang w:val="zh-CN"/>
        </w:rPr>
        <w:t>2022年度收入合计1054.90万元,其中：财政拨款收入1054.90万元,占100.00%</w:t>
      </w:r>
      <w:r>
        <w:rPr>
          <w:rFonts w:hint="eastAsia" w:ascii="仿宋" w:hAnsi="仿宋" w:eastAsia="仿宋" w:cs="仿宋"/>
          <w:color w:val="auto"/>
          <w:sz w:val="32"/>
          <w:szCs w:val="32"/>
          <w:lang w:val="en-US" w:eastAsia="zh-CN"/>
        </w:rPr>
        <w:t>。</w:t>
      </w:r>
    </w:p>
    <w:p w14:paraId="2B5E029D">
      <w:pPr>
        <w:spacing w:before="100" w:beforeLines="0" w:after="100" w:afterLines="0"/>
        <w:jc w:val="left"/>
        <w:rPr>
          <w:rFonts w:hint="eastAsia"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b/>
          <w:bCs/>
          <w:color w:val="auto"/>
          <w:sz w:val="32"/>
          <w:szCs w:val="32"/>
          <w:lang w:val="zh-CN"/>
        </w:rPr>
        <w:t>三、支出决算情况说明</w:t>
      </w:r>
    </w:p>
    <w:p w14:paraId="5B916FAC">
      <w:pPr>
        <w:spacing w:before="100" w:beforeLines="0" w:after="100" w:afterLines="0"/>
        <w:ind w:firstLine="640" w:firstLineChars="200"/>
        <w:jc w:val="left"/>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2022年度支出合计1054.90万元,其中：基本支出565.90万元,占53.64%；项目支出489.00万元,占46.36%。</w:t>
      </w:r>
    </w:p>
    <w:p w14:paraId="4801A9B9">
      <w:pPr>
        <w:spacing w:before="100" w:beforeLines="0" w:after="100" w:afterLines="0"/>
        <w:jc w:val="left"/>
        <w:rPr>
          <w:rFonts w:hint="eastAsia"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b/>
          <w:bCs/>
          <w:color w:val="auto"/>
          <w:sz w:val="32"/>
          <w:szCs w:val="32"/>
          <w:lang w:val="zh-CN"/>
        </w:rPr>
        <w:t>四、财政拨款收入支出决算总体情况说明</w:t>
      </w:r>
    </w:p>
    <w:p w14:paraId="0424CE64">
      <w:pPr>
        <w:spacing w:before="100" w:beforeLines="0" w:after="100" w:afterLines="0"/>
        <w:ind w:firstLine="640" w:firstLineChars="200"/>
        <w:jc w:val="left"/>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2022年度财政拨款收、支总计</w:t>
      </w:r>
      <w:r>
        <w:rPr>
          <w:rFonts w:hint="eastAsia" w:ascii="仿宋" w:hAnsi="仿宋" w:eastAsia="仿宋" w:cs="仿宋"/>
          <w:color w:val="auto"/>
          <w:sz w:val="32"/>
          <w:szCs w:val="32"/>
          <w:lang w:val="en-US"/>
        </w:rPr>
        <w:t>均为</w:t>
      </w:r>
      <w:r>
        <w:rPr>
          <w:rFonts w:hint="eastAsia" w:ascii="仿宋" w:hAnsi="仿宋" w:eastAsia="仿宋" w:cs="仿宋"/>
          <w:color w:val="auto"/>
          <w:sz w:val="32"/>
          <w:szCs w:val="32"/>
          <w:lang w:val="zh-CN"/>
        </w:rPr>
        <w:t>1054.90万元。与</w:t>
      </w:r>
      <w:r>
        <w:rPr>
          <w:rFonts w:hint="eastAsia" w:ascii="仿宋" w:hAnsi="仿宋" w:eastAsia="仿宋" w:cs="仿宋"/>
          <w:color w:val="auto"/>
          <w:sz w:val="32"/>
          <w:szCs w:val="32"/>
          <w:lang w:val="en-US"/>
        </w:rPr>
        <w:t>上</w:t>
      </w:r>
      <w:r>
        <w:rPr>
          <w:rFonts w:hint="eastAsia" w:ascii="仿宋" w:hAnsi="仿宋" w:eastAsia="仿宋" w:cs="仿宋"/>
          <w:color w:val="auto"/>
          <w:sz w:val="32"/>
          <w:szCs w:val="32"/>
          <w:lang w:val="zh-CN"/>
        </w:rPr>
        <w:t>年相比,各增加68.88万元,增长6.99%。主要原因是</w:t>
      </w:r>
      <w:r>
        <w:rPr>
          <w:rFonts w:hint="eastAsia" w:ascii="仿宋" w:hAnsi="仿宋" w:eastAsia="仿宋" w:cs="仿宋"/>
          <w:color w:val="auto"/>
          <w:sz w:val="32"/>
          <w:szCs w:val="32"/>
          <w:lang w:val="zh-CN" w:eastAsia="zh-CN"/>
        </w:rPr>
        <w:t>本年度人员经费增加，和年底追加交易系统及金融一体化平台建设经费。</w:t>
      </w:r>
    </w:p>
    <w:p w14:paraId="5B243FC5">
      <w:pPr>
        <w:spacing w:before="100" w:beforeLines="0" w:after="100" w:afterLines="0"/>
        <w:jc w:val="left"/>
        <w:rPr>
          <w:rFonts w:hint="eastAsia"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b/>
          <w:bCs/>
          <w:color w:val="auto"/>
          <w:sz w:val="32"/>
          <w:szCs w:val="32"/>
          <w:lang w:val="zh-CN"/>
        </w:rPr>
        <w:t>五、一般公共预算财政拨款支出决算情况说明</w:t>
      </w:r>
    </w:p>
    <w:p w14:paraId="5E897ED0">
      <w:pPr>
        <w:spacing w:before="100" w:beforeLines="0" w:after="100" w:afterLines="0"/>
        <w:ind w:firstLine="640" w:firstLineChars="200"/>
        <w:jc w:val="left"/>
        <w:rPr>
          <w:rFonts w:hint="eastAsia" w:ascii="仿宋" w:hAnsi="仿宋" w:eastAsia="仿宋" w:cs="仿宋"/>
          <w:color w:val="auto"/>
          <w:sz w:val="32"/>
          <w:szCs w:val="32"/>
          <w:lang w:val="zh-CN" w:eastAsia="zh-CN"/>
        </w:rPr>
      </w:pPr>
      <w:r>
        <w:rPr>
          <w:rFonts w:hint="eastAsia" w:ascii="仿宋" w:hAnsi="仿宋" w:eastAsia="仿宋" w:cs="仿宋"/>
          <w:color w:val="auto"/>
          <w:sz w:val="32"/>
          <w:szCs w:val="32"/>
          <w:lang w:val="zh-CN"/>
        </w:rPr>
        <w:t>2022年度一般公共预算财政拨款支出1054.90万元,较上年决算数增加68.88万元,增长6.99%。主要原因是</w:t>
      </w:r>
      <w:r>
        <w:rPr>
          <w:rFonts w:hint="eastAsia" w:ascii="仿宋" w:hAnsi="仿宋" w:eastAsia="仿宋" w:cs="仿宋"/>
          <w:color w:val="auto"/>
          <w:sz w:val="32"/>
          <w:szCs w:val="32"/>
          <w:lang w:val="zh-CN" w:eastAsia="zh-CN"/>
        </w:rPr>
        <w:t>本年度人员经费增加，和年底追加交易系统及金融一体化平台建设经费。</w:t>
      </w:r>
    </w:p>
    <w:p w14:paraId="12A78412">
      <w:pPr>
        <w:numPr>
          <w:ilvl w:val="0"/>
          <w:numId w:val="0"/>
        </w:numPr>
        <w:spacing w:before="100" w:beforeLines="0" w:after="100" w:afterLines="0"/>
        <w:jc w:val="left"/>
        <w:rPr>
          <w:rFonts w:hint="eastAsia" w:ascii="仿宋" w:hAnsi="仿宋" w:eastAsia="仿宋" w:cs="仿宋"/>
          <w:color w:val="FF0000"/>
          <w:sz w:val="32"/>
          <w:szCs w:val="32"/>
          <w:highlight w:val="none"/>
          <w:lang w:val="zh-CN"/>
        </w:rPr>
      </w:pPr>
      <w:r>
        <w:rPr>
          <w:rFonts w:hint="eastAsia" w:ascii="仿宋" w:hAnsi="仿宋" w:eastAsia="仿宋" w:cs="仿宋"/>
          <w:b/>
          <w:color w:val="auto"/>
          <w:sz w:val="32"/>
          <w:szCs w:val="32"/>
          <w:highlight w:val="none"/>
          <w:lang w:val="en-US" w:eastAsia="zh-CN"/>
        </w:rPr>
        <w:t>1、</w:t>
      </w:r>
      <w:r>
        <w:rPr>
          <w:rFonts w:hint="eastAsia" w:ascii="仿宋" w:hAnsi="仿宋" w:eastAsia="仿宋" w:cs="仿宋"/>
          <w:b/>
          <w:color w:val="auto"/>
          <w:sz w:val="32"/>
          <w:szCs w:val="32"/>
          <w:highlight w:val="none"/>
          <w:lang w:val="zh-CN"/>
        </w:rPr>
        <w:t>一般公共服务支出</w:t>
      </w:r>
      <w:r>
        <w:rPr>
          <w:rFonts w:hint="eastAsia" w:ascii="仿宋" w:hAnsi="仿宋" w:eastAsia="仿宋" w:cs="仿宋"/>
          <w:color w:val="auto"/>
          <w:sz w:val="32"/>
          <w:szCs w:val="32"/>
          <w:highlight w:val="none"/>
          <w:lang w:val="zh-CN"/>
        </w:rPr>
        <w:t>年初预算数为883.52万元,支出决算为947.49万元,完成年初预算的107.24%,决算数大于预算数的主要原因是</w:t>
      </w:r>
      <w:r>
        <w:rPr>
          <w:rFonts w:hint="eastAsia" w:ascii="仿宋" w:hAnsi="仿宋" w:eastAsia="仿宋" w:cs="仿宋"/>
          <w:color w:val="auto"/>
          <w:sz w:val="32"/>
          <w:szCs w:val="32"/>
          <w:highlight w:val="none"/>
          <w:lang w:val="zh-CN" w:eastAsia="zh-CN"/>
        </w:rPr>
        <w:t>本年度人员经费增加和年底追加交易系统及金融一体化平台建设经费。</w:t>
      </w:r>
    </w:p>
    <w:p w14:paraId="2F1A69D7">
      <w:pPr>
        <w:numPr>
          <w:ilvl w:val="0"/>
          <w:numId w:val="0"/>
        </w:numPr>
        <w:spacing w:before="100" w:beforeLines="0" w:after="100" w:afterLines="0"/>
        <w:jc w:val="left"/>
        <w:rPr>
          <w:rFonts w:hint="eastAsia" w:ascii="仿宋" w:hAnsi="仿宋" w:eastAsia="仿宋" w:cs="仿宋"/>
          <w:color w:val="auto"/>
          <w:sz w:val="32"/>
          <w:szCs w:val="32"/>
          <w:lang w:val="zh-CN"/>
        </w:rPr>
      </w:pPr>
      <w:r>
        <w:rPr>
          <w:rFonts w:hint="eastAsia" w:ascii="仿宋" w:hAnsi="仿宋" w:eastAsia="仿宋" w:cs="仿宋"/>
          <w:b/>
          <w:color w:val="auto"/>
          <w:sz w:val="32"/>
          <w:szCs w:val="32"/>
          <w:lang w:val="en-US" w:eastAsia="zh-CN"/>
        </w:rPr>
        <w:t>2、</w:t>
      </w:r>
      <w:r>
        <w:rPr>
          <w:rFonts w:hint="eastAsia" w:ascii="仿宋" w:hAnsi="仿宋" w:eastAsia="仿宋" w:cs="仿宋"/>
          <w:b/>
          <w:color w:val="auto"/>
          <w:sz w:val="32"/>
          <w:szCs w:val="32"/>
          <w:lang w:val="zh-CN"/>
        </w:rPr>
        <w:t>社会保障和就业支出</w:t>
      </w:r>
      <w:r>
        <w:rPr>
          <w:rFonts w:hint="eastAsia" w:ascii="仿宋" w:hAnsi="仿宋" w:eastAsia="仿宋" w:cs="仿宋"/>
          <w:color w:val="auto"/>
          <w:sz w:val="32"/>
          <w:szCs w:val="32"/>
          <w:lang w:val="zh-CN"/>
        </w:rPr>
        <w:t>年初预算数为38.92万元,支出决算为62.53万元,完成年初预算的160.67%,决算数大于预算数的主要原因是本年度养老保险及职业年金增加，并且增加两位退休人员财政补助部分养老保险和职业年金的划拨。</w:t>
      </w:r>
    </w:p>
    <w:p w14:paraId="5A6AF508">
      <w:pPr>
        <w:numPr>
          <w:ilvl w:val="0"/>
          <w:numId w:val="0"/>
        </w:numPr>
        <w:spacing w:before="100" w:beforeLines="0" w:after="100" w:afterLines="0"/>
        <w:jc w:val="left"/>
        <w:rPr>
          <w:rFonts w:hint="eastAsia" w:ascii="仿宋" w:hAnsi="仿宋" w:eastAsia="仿宋" w:cs="仿宋"/>
          <w:color w:val="auto"/>
          <w:sz w:val="32"/>
          <w:szCs w:val="32"/>
          <w:highlight w:val="red"/>
          <w:lang w:val="zh-CN"/>
        </w:rPr>
      </w:pPr>
      <w:r>
        <w:rPr>
          <w:rFonts w:hint="eastAsia" w:ascii="仿宋" w:hAnsi="仿宋" w:eastAsia="仿宋" w:cs="仿宋"/>
          <w:b/>
          <w:color w:val="auto"/>
          <w:sz w:val="32"/>
          <w:szCs w:val="32"/>
          <w:lang w:val="en-US" w:eastAsia="zh-CN"/>
        </w:rPr>
        <w:t>3、</w:t>
      </w:r>
      <w:r>
        <w:rPr>
          <w:rFonts w:hint="eastAsia" w:ascii="仿宋" w:hAnsi="仿宋" w:eastAsia="仿宋" w:cs="仿宋"/>
          <w:b/>
          <w:color w:val="auto"/>
          <w:sz w:val="32"/>
          <w:szCs w:val="32"/>
          <w:lang w:val="zh-CN"/>
        </w:rPr>
        <w:t>卫生健康支出</w:t>
      </w:r>
      <w:r>
        <w:rPr>
          <w:rFonts w:hint="eastAsia" w:ascii="仿宋" w:hAnsi="仿宋" w:eastAsia="仿宋" w:cs="仿宋"/>
          <w:color w:val="auto"/>
          <w:sz w:val="32"/>
          <w:szCs w:val="32"/>
          <w:lang w:val="zh-CN"/>
        </w:rPr>
        <w:t>年初预算数为15.13万元,支出决算为15.62万元,完成年初预算的103.19%,决算数大于预算数的主要原因是人员医疗保险增加。</w:t>
      </w:r>
    </w:p>
    <w:p w14:paraId="09007623">
      <w:pPr>
        <w:spacing w:before="100" w:beforeLines="0" w:after="100" w:afterLines="0"/>
        <w:jc w:val="left"/>
        <w:rPr>
          <w:rFonts w:hint="eastAsia" w:ascii="仿宋" w:hAnsi="仿宋" w:eastAsia="仿宋" w:cs="仿宋"/>
          <w:color w:val="auto"/>
          <w:sz w:val="32"/>
          <w:szCs w:val="32"/>
          <w:lang w:val="zh-CN"/>
        </w:rPr>
      </w:pPr>
      <w:r>
        <w:rPr>
          <w:rFonts w:hint="eastAsia" w:ascii="仿宋" w:hAnsi="仿宋" w:eastAsia="仿宋" w:cs="仿宋"/>
          <w:b/>
          <w:color w:val="auto"/>
          <w:sz w:val="32"/>
          <w:szCs w:val="32"/>
          <w:lang w:val="en-US" w:eastAsia="zh-CN"/>
        </w:rPr>
        <w:t>4、</w:t>
      </w:r>
      <w:r>
        <w:rPr>
          <w:rFonts w:hint="eastAsia" w:ascii="仿宋" w:hAnsi="仿宋" w:eastAsia="仿宋" w:cs="仿宋"/>
          <w:b/>
          <w:color w:val="auto"/>
          <w:sz w:val="32"/>
          <w:szCs w:val="32"/>
          <w:lang w:val="zh-CN"/>
        </w:rPr>
        <w:t>住房保障支出</w:t>
      </w:r>
      <w:r>
        <w:rPr>
          <w:rFonts w:hint="eastAsia" w:ascii="仿宋" w:hAnsi="仿宋" w:eastAsia="仿宋" w:cs="仿宋"/>
          <w:color w:val="auto"/>
          <w:sz w:val="32"/>
          <w:szCs w:val="32"/>
          <w:lang w:val="zh-CN"/>
        </w:rPr>
        <w:t>年初预算数为28.00万元,支出决算为29.27万元,完成年初预算的104.54%,决算数大于预算数的主要原因是本年度人员公积金增加。</w:t>
      </w:r>
    </w:p>
    <w:p w14:paraId="248C1431">
      <w:pPr>
        <w:spacing w:before="100" w:beforeLines="0" w:after="100" w:afterLines="0"/>
        <w:jc w:val="left"/>
        <w:rPr>
          <w:rFonts w:hint="eastAsia" w:asciiTheme="majorEastAsia" w:hAnsiTheme="majorEastAsia" w:eastAsiaTheme="majorEastAsia" w:cstheme="majorEastAsia"/>
          <w:b/>
          <w:bCs/>
          <w:color w:val="auto"/>
          <w:sz w:val="32"/>
          <w:szCs w:val="32"/>
          <w:highlight w:val="none"/>
          <w:lang w:val="zh-CN"/>
        </w:rPr>
      </w:pPr>
      <w:r>
        <w:rPr>
          <w:rFonts w:hint="eastAsia" w:asciiTheme="majorEastAsia" w:hAnsiTheme="majorEastAsia" w:eastAsiaTheme="majorEastAsia" w:cstheme="majorEastAsia"/>
          <w:b/>
          <w:bCs/>
          <w:color w:val="auto"/>
          <w:sz w:val="32"/>
          <w:szCs w:val="32"/>
          <w:highlight w:val="none"/>
          <w:lang w:val="zh-CN"/>
        </w:rPr>
        <w:t>六、一般公共预算财政拨款基本支出决算情况说明</w:t>
      </w:r>
    </w:p>
    <w:p w14:paraId="0DAF6AB8">
      <w:pPr>
        <w:spacing w:before="100" w:beforeLines="0" w:after="100" w:afterLines="0"/>
        <w:ind w:firstLine="640" w:firstLineChars="200"/>
        <w:jc w:val="left"/>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2022年度一般公共预算财政拨款基本支出565.90万元。其中：</w:t>
      </w:r>
      <w:r>
        <w:rPr>
          <w:rFonts w:hint="eastAsia" w:ascii="仿宋" w:hAnsi="仿宋" w:eastAsia="仿宋" w:cs="仿宋"/>
          <w:b/>
          <w:color w:val="auto"/>
          <w:sz w:val="32"/>
          <w:szCs w:val="32"/>
          <w:lang w:val="zh-CN"/>
        </w:rPr>
        <w:t>人员经费</w:t>
      </w:r>
      <w:r>
        <w:rPr>
          <w:rFonts w:hint="eastAsia" w:ascii="仿宋" w:hAnsi="仿宋" w:eastAsia="仿宋" w:cs="仿宋"/>
          <w:color w:val="auto"/>
          <w:sz w:val="32"/>
          <w:szCs w:val="32"/>
          <w:lang w:val="zh-CN"/>
        </w:rPr>
        <w:t>507.82万元,较上年决算数增加62.05万元,增长13.92%,主要原因是本年度人员工资和社会保障缴费增加。人员经费用途主要包括基本工资、津贴补贴、奖金、社会保障缴费、住房公积金等。</w:t>
      </w:r>
      <w:r>
        <w:rPr>
          <w:rFonts w:hint="eastAsia" w:ascii="仿宋" w:hAnsi="仿宋" w:eastAsia="仿宋" w:cs="仿宋"/>
          <w:b/>
          <w:color w:val="auto"/>
          <w:sz w:val="32"/>
          <w:szCs w:val="32"/>
          <w:lang w:val="zh-CN"/>
        </w:rPr>
        <w:t>公用经费</w:t>
      </w:r>
      <w:r>
        <w:rPr>
          <w:rFonts w:hint="eastAsia" w:ascii="仿宋" w:hAnsi="仿宋" w:eastAsia="仿宋" w:cs="仿宋"/>
          <w:color w:val="auto"/>
          <w:sz w:val="32"/>
          <w:szCs w:val="32"/>
          <w:lang w:val="zh-CN"/>
        </w:rPr>
        <w:t>58.08万元,较上年决算数增加2.84万元,增长5.13%,主要原因是新增党建活动经费和邮电费增加。公用经费用途主要包括办公费、印刷费、咨询费、手续费、水费、电费、邮电费、取暖费、物业管理费等。</w:t>
      </w:r>
    </w:p>
    <w:p w14:paraId="1346A105">
      <w:pPr>
        <w:spacing w:before="100" w:beforeLines="0" w:after="100" w:afterLines="0"/>
        <w:jc w:val="left"/>
        <w:rPr>
          <w:rFonts w:hint="eastAsia" w:asciiTheme="majorEastAsia" w:hAnsiTheme="majorEastAsia" w:eastAsiaTheme="majorEastAsia" w:cstheme="majorEastAsia"/>
          <w:b/>
          <w:bCs/>
          <w:color w:val="auto"/>
          <w:sz w:val="32"/>
          <w:szCs w:val="32"/>
          <w:highlight w:val="none"/>
          <w:lang w:val="zh-CN"/>
        </w:rPr>
      </w:pPr>
      <w:r>
        <w:rPr>
          <w:rFonts w:hint="eastAsia" w:asciiTheme="majorEastAsia" w:hAnsiTheme="majorEastAsia" w:eastAsiaTheme="majorEastAsia" w:cstheme="majorEastAsia"/>
          <w:b/>
          <w:bCs/>
          <w:color w:val="auto"/>
          <w:sz w:val="32"/>
          <w:szCs w:val="32"/>
          <w:highlight w:val="none"/>
          <w:lang w:val="en-US"/>
        </w:rPr>
        <w:t>七</w:t>
      </w:r>
      <w:r>
        <w:rPr>
          <w:rFonts w:hint="eastAsia" w:asciiTheme="majorEastAsia" w:hAnsiTheme="majorEastAsia" w:eastAsiaTheme="majorEastAsia" w:cstheme="majorEastAsia"/>
          <w:b/>
          <w:bCs/>
          <w:color w:val="auto"/>
          <w:sz w:val="32"/>
          <w:szCs w:val="32"/>
          <w:highlight w:val="none"/>
          <w:lang w:val="zh-CN"/>
        </w:rPr>
        <w:t>、机关运行经费支出情况说明</w:t>
      </w:r>
    </w:p>
    <w:p w14:paraId="18B5F557">
      <w:pPr>
        <w:spacing w:before="100" w:beforeLines="0" w:after="100" w:afterLines="0"/>
        <w:ind w:firstLine="640" w:firstLineChars="200"/>
        <w:jc w:val="left"/>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2022年度本部门机关运行经费支出58.08万元,机关运行经费主要用于开支办公费</w:t>
      </w:r>
      <w:r>
        <w:rPr>
          <w:rFonts w:hint="eastAsia" w:ascii="仿宋" w:hAnsi="仿宋" w:eastAsia="仿宋" w:cs="仿宋"/>
          <w:color w:val="auto"/>
          <w:sz w:val="32"/>
          <w:szCs w:val="32"/>
          <w:lang w:val="en-US" w:eastAsia="zh-CN"/>
        </w:rPr>
        <w:t>1.2万元、印刷费0.2万元</w:t>
      </w:r>
      <w:r>
        <w:rPr>
          <w:rFonts w:hint="eastAsia" w:ascii="仿宋" w:hAnsi="仿宋" w:eastAsia="仿宋" w:cs="仿宋"/>
          <w:color w:val="auto"/>
          <w:sz w:val="32"/>
          <w:szCs w:val="32"/>
          <w:lang w:val="zh-CN"/>
        </w:rPr>
        <w:t>、电费</w:t>
      </w:r>
      <w:r>
        <w:rPr>
          <w:rFonts w:hint="eastAsia" w:ascii="仿宋" w:hAnsi="仿宋" w:eastAsia="仿宋" w:cs="仿宋"/>
          <w:color w:val="auto"/>
          <w:sz w:val="32"/>
          <w:szCs w:val="32"/>
          <w:lang w:val="en-US" w:eastAsia="zh-CN"/>
        </w:rPr>
        <w:t>1万元、邮电费1.2万元、取暖费5万元、劳务费11万元、工会经费2.8万元、福利费3.4万元、其他交通费用32万元。</w:t>
      </w:r>
      <w:r>
        <w:rPr>
          <w:rFonts w:hint="eastAsia" w:ascii="仿宋" w:hAnsi="仿宋" w:eastAsia="仿宋" w:cs="仿宋"/>
          <w:color w:val="auto"/>
          <w:sz w:val="32"/>
          <w:szCs w:val="32"/>
          <w:lang w:val="zh-CN"/>
        </w:rPr>
        <w:t>机关运行经费较上年决算数增加2.83万元,增长5.12%,主要原因是新增党建活动经费和邮电费增加</w:t>
      </w:r>
    </w:p>
    <w:p w14:paraId="0CD9DB70">
      <w:pPr>
        <w:spacing w:before="100" w:beforeLines="0" w:after="100" w:afterLines="0"/>
        <w:ind w:firstLine="640" w:firstLineChars="200"/>
        <w:jc w:val="left"/>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本年度会议费支出0.00万元,较上年决算数减少0.0万元,下降</w:t>
      </w:r>
      <w:r>
        <w:rPr>
          <w:rFonts w:hint="eastAsia" w:ascii="仿宋" w:hAnsi="仿宋" w:eastAsia="仿宋" w:cs="仿宋"/>
          <w:color w:val="auto"/>
          <w:sz w:val="32"/>
          <w:szCs w:val="32"/>
          <w:lang w:val="en-US" w:eastAsia="zh-CN"/>
        </w:rPr>
        <w:t>0.00</w:t>
      </w:r>
      <w:r>
        <w:rPr>
          <w:rFonts w:hint="eastAsia" w:ascii="仿宋" w:hAnsi="仿宋" w:eastAsia="仿宋" w:cs="仿宋"/>
          <w:color w:val="auto"/>
          <w:sz w:val="32"/>
          <w:szCs w:val="32"/>
          <w:lang w:val="zh-CN"/>
        </w:rPr>
        <w:t>%,本年度培训费支出0.10万元,较上年决算数减少1.05万元,下降91.3%,主要原因是疫情原因，本年度培训减少。</w:t>
      </w:r>
    </w:p>
    <w:p w14:paraId="2B22DECF">
      <w:pPr>
        <w:spacing w:before="100" w:beforeLines="0" w:after="100" w:afterLines="0"/>
        <w:jc w:val="left"/>
        <w:rPr>
          <w:rFonts w:hint="eastAsia" w:asciiTheme="majorEastAsia" w:hAnsiTheme="majorEastAsia" w:eastAsiaTheme="majorEastAsia" w:cstheme="majorEastAsia"/>
          <w:b/>
          <w:bCs/>
          <w:color w:val="auto"/>
          <w:sz w:val="32"/>
          <w:szCs w:val="32"/>
          <w:highlight w:val="none"/>
          <w:lang w:val="zh-CN"/>
        </w:rPr>
      </w:pPr>
      <w:r>
        <w:rPr>
          <w:rFonts w:hint="eastAsia" w:asciiTheme="majorEastAsia" w:hAnsiTheme="majorEastAsia" w:eastAsiaTheme="majorEastAsia" w:cstheme="majorEastAsia"/>
          <w:b/>
          <w:bCs/>
          <w:color w:val="auto"/>
          <w:sz w:val="32"/>
          <w:szCs w:val="32"/>
          <w:highlight w:val="none"/>
          <w:lang w:val="en-US"/>
        </w:rPr>
        <w:t>八</w:t>
      </w:r>
      <w:r>
        <w:rPr>
          <w:rFonts w:hint="eastAsia" w:asciiTheme="majorEastAsia" w:hAnsiTheme="majorEastAsia" w:eastAsiaTheme="majorEastAsia" w:cstheme="majorEastAsia"/>
          <w:b/>
          <w:bCs/>
          <w:color w:val="auto"/>
          <w:sz w:val="32"/>
          <w:szCs w:val="32"/>
          <w:highlight w:val="none"/>
          <w:lang w:val="zh-CN"/>
        </w:rPr>
        <w:t>、政府采购支出情况说明</w:t>
      </w:r>
    </w:p>
    <w:p w14:paraId="7D19BD4E">
      <w:pPr>
        <w:spacing w:before="100" w:beforeLines="0" w:after="100" w:afterLines="0"/>
        <w:ind w:firstLine="640" w:firstLineChars="200"/>
        <w:jc w:val="left"/>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我单位2022年度无政府采购相关经费。</w:t>
      </w:r>
    </w:p>
    <w:p w14:paraId="062E027F">
      <w:pPr>
        <w:spacing w:before="100" w:beforeLines="0" w:after="100" w:afterLines="0"/>
        <w:jc w:val="left"/>
        <w:rPr>
          <w:rFonts w:hint="eastAsia" w:asciiTheme="majorEastAsia" w:hAnsiTheme="majorEastAsia" w:eastAsiaTheme="majorEastAsia" w:cstheme="majorEastAsia"/>
          <w:b/>
          <w:bCs/>
          <w:color w:val="auto"/>
          <w:sz w:val="32"/>
          <w:szCs w:val="32"/>
          <w:highlight w:val="none"/>
          <w:lang w:val="zh-CN"/>
        </w:rPr>
      </w:pPr>
      <w:r>
        <w:rPr>
          <w:rFonts w:hint="eastAsia" w:asciiTheme="majorEastAsia" w:hAnsiTheme="majorEastAsia" w:eastAsiaTheme="majorEastAsia" w:cstheme="majorEastAsia"/>
          <w:b/>
          <w:bCs/>
          <w:color w:val="auto"/>
          <w:sz w:val="32"/>
          <w:szCs w:val="32"/>
          <w:highlight w:val="none"/>
          <w:lang w:val="zh-CN"/>
        </w:rPr>
        <w:t>九、国有资产占用情况说明</w:t>
      </w:r>
    </w:p>
    <w:p w14:paraId="44839F2E">
      <w:pPr>
        <w:numPr>
          <w:ilvl w:val="0"/>
          <w:numId w:val="0"/>
        </w:numPr>
        <w:spacing w:before="100" w:beforeLines="0" w:after="100" w:afterLines="0"/>
        <w:ind w:firstLine="640" w:firstLineChars="200"/>
        <w:jc w:val="left"/>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截止2022年12月31日，定西市公共资源交易中心固定资产存量305.85万元，其中，通用设备199.52万元，家具、用具、装具及动植物103.88万元。无形资产2.45万元。</w:t>
      </w:r>
    </w:p>
    <w:p w14:paraId="3F68A502">
      <w:pPr>
        <w:numPr>
          <w:ilvl w:val="0"/>
          <w:numId w:val="0"/>
        </w:numPr>
        <w:spacing w:before="100" w:beforeLines="0" w:after="100" w:afterLines="0"/>
        <w:ind w:firstLine="640" w:firstLineChars="200"/>
        <w:jc w:val="left"/>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本部门共有车辆0辆,其中,副部(省)级及以上领导用车0辆、主要领导干部用车0辆、机要通信用车0辆、应急保障用车0辆、执法执勤用车0辆,特种专业技术用车0辆,离退休干部用车0辆,其他用车0辆。单价100万元(含)以上设备0台(套)。</w:t>
      </w:r>
    </w:p>
    <w:p w14:paraId="1884DE2A">
      <w:pPr>
        <w:spacing w:before="100" w:beforeLines="0" w:after="100" w:afterLines="0"/>
        <w:jc w:val="left"/>
        <w:rPr>
          <w:rFonts w:hint="eastAsia" w:asciiTheme="majorEastAsia" w:hAnsiTheme="majorEastAsia" w:eastAsiaTheme="majorEastAsia" w:cstheme="majorEastAsia"/>
          <w:b/>
          <w:bCs/>
          <w:color w:val="auto"/>
          <w:sz w:val="32"/>
          <w:szCs w:val="32"/>
          <w:highlight w:val="none"/>
          <w:lang w:val="zh-CN"/>
        </w:rPr>
      </w:pPr>
      <w:r>
        <w:rPr>
          <w:rFonts w:hint="eastAsia" w:asciiTheme="majorEastAsia" w:hAnsiTheme="majorEastAsia" w:eastAsiaTheme="majorEastAsia" w:cstheme="majorEastAsia"/>
          <w:b/>
          <w:bCs/>
          <w:color w:val="auto"/>
          <w:sz w:val="32"/>
          <w:szCs w:val="32"/>
          <w:highlight w:val="none"/>
          <w:lang w:val="zh-CN"/>
        </w:rPr>
        <w:t>十、政府性基金预算财政拨款收支决算情况说明</w:t>
      </w:r>
    </w:p>
    <w:p w14:paraId="2230E51D">
      <w:pPr>
        <w:spacing w:before="100" w:beforeLines="0" w:after="100" w:afterLines="0"/>
        <w:ind w:firstLine="640" w:firstLineChars="200"/>
        <w:jc w:val="left"/>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本部门2022年度无政府性基金收入,也没有使用政府性基金安排的支出。</w:t>
      </w:r>
    </w:p>
    <w:p w14:paraId="730D17AE">
      <w:pPr>
        <w:spacing w:before="100" w:beforeLines="0" w:after="100" w:afterLines="0"/>
        <w:jc w:val="left"/>
        <w:rPr>
          <w:rFonts w:hint="eastAsia" w:asciiTheme="majorEastAsia" w:hAnsiTheme="majorEastAsia" w:eastAsiaTheme="majorEastAsia" w:cstheme="majorEastAsia"/>
          <w:b/>
          <w:bCs/>
          <w:color w:val="auto"/>
          <w:sz w:val="32"/>
          <w:szCs w:val="32"/>
          <w:highlight w:val="none"/>
          <w:lang w:val="zh-CN"/>
        </w:rPr>
      </w:pPr>
      <w:r>
        <w:rPr>
          <w:rFonts w:hint="eastAsia" w:asciiTheme="majorEastAsia" w:hAnsiTheme="majorEastAsia" w:eastAsiaTheme="majorEastAsia" w:cstheme="majorEastAsia"/>
          <w:b/>
          <w:bCs/>
          <w:color w:val="auto"/>
          <w:sz w:val="32"/>
          <w:szCs w:val="32"/>
          <w:highlight w:val="none"/>
          <w:lang w:val="zh-CN"/>
        </w:rPr>
        <w:t>十</w:t>
      </w:r>
      <w:r>
        <w:rPr>
          <w:rFonts w:hint="eastAsia" w:asciiTheme="majorEastAsia" w:hAnsiTheme="majorEastAsia" w:eastAsiaTheme="majorEastAsia" w:cstheme="majorEastAsia"/>
          <w:b/>
          <w:bCs/>
          <w:color w:val="auto"/>
          <w:sz w:val="32"/>
          <w:szCs w:val="32"/>
          <w:highlight w:val="none"/>
          <w:lang w:val="en-US"/>
        </w:rPr>
        <w:t>一</w:t>
      </w:r>
      <w:r>
        <w:rPr>
          <w:rFonts w:hint="eastAsia" w:asciiTheme="majorEastAsia" w:hAnsiTheme="majorEastAsia" w:eastAsiaTheme="majorEastAsia" w:cstheme="majorEastAsia"/>
          <w:b/>
          <w:bCs/>
          <w:color w:val="auto"/>
          <w:sz w:val="32"/>
          <w:szCs w:val="32"/>
          <w:highlight w:val="none"/>
          <w:lang w:val="zh-CN"/>
        </w:rPr>
        <w:t>、国有资本经营预算财政拨款支出情况说明</w:t>
      </w:r>
    </w:p>
    <w:p w14:paraId="7F06D955">
      <w:pPr>
        <w:spacing w:before="100" w:beforeLines="0" w:after="100" w:afterLines="0"/>
        <w:ind w:firstLine="640" w:firstLineChars="200"/>
        <w:jc w:val="left"/>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本部门2022年度没有使用国有资本经营预算安排的支出。</w:t>
      </w:r>
    </w:p>
    <w:p w14:paraId="12506946">
      <w:pPr>
        <w:spacing w:before="100" w:beforeLines="0" w:after="100" w:afterLines="0"/>
        <w:jc w:val="left"/>
        <w:rPr>
          <w:rFonts w:hint="eastAsia" w:asciiTheme="majorEastAsia" w:hAnsiTheme="majorEastAsia" w:eastAsiaTheme="majorEastAsia" w:cstheme="majorEastAsia"/>
          <w:b/>
          <w:bCs/>
          <w:color w:val="auto"/>
          <w:sz w:val="32"/>
          <w:szCs w:val="32"/>
          <w:highlight w:val="none"/>
          <w:lang w:val="zh-CN"/>
        </w:rPr>
      </w:pPr>
      <w:r>
        <w:rPr>
          <w:rFonts w:hint="eastAsia" w:asciiTheme="majorEastAsia" w:hAnsiTheme="majorEastAsia" w:eastAsiaTheme="majorEastAsia" w:cstheme="majorEastAsia"/>
          <w:b/>
          <w:bCs/>
          <w:color w:val="auto"/>
          <w:sz w:val="32"/>
          <w:szCs w:val="32"/>
          <w:highlight w:val="none"/>
          <w:lang w:val="en-US"/>
        </w:rPr>
        <w:t>十二</w:t>
      </w:r>
      <w:r>
        <w:rPr>
          <w:rFonts w:hint="eastAsia" w:asciiTheme="majorEastAsia" w:hAnsiTheme="majorEastAsia" w:eastAsiaTheme="majorEastAsia" w:cstheme="majorEastAsia"/>
          <w:b/>
          <w:bCs/>
          <w:color w:val="auto"/>
          <w:sz w:val="32"/>
          <w:szCs w:val="32"/>
          <w:highlight w:val="none"/>
          <w:lang w:val="zh-CN"/>
        </w:rPr>
        <w:t>、财政拨款“三公”经费支出决算情况说明</w:t>
      </w:r>
    </w:p>
    <w:p w14:paraId="78AFAF9D">
      <w:pPr>
        <w:spacing w:before="100" w:beforeLines="0" w:after="100" w:afterLines="0"/>
        <w:ind w:firstLine="643" w:firstLineChars="200"/>
        <w:jc w:val="left"/>
        <w:rPr>
          <w:rFonts w:hint="eastAsia" w:ascii="仿宋" w:hAnsi="仿宋" w:eastAsia="仿宋" w:cs="仿宋"/>
          <w:color w:val="auto"/>
          <w:sz w:val="32"/>
          <w:szCs w:val="32"/>
          <w:highlight w:val="none"/>
          <w:lang w:val="zh-CN"/>
        </w:rPr>
      </w:pPr>
      <w:r>
        <w:rPr>
          <w:rFonts w:hint="eastAsia" w:ascii="仿宋" w:hAnsi="仿宋" w:eastAsia="仿宋" w:cs="仿宋"/>
          <w:b/>
          <w:color w:val="auto"/>
          <w:sz w:val="32"/>
          <w:szCs w:val="32"/>
          <w:highlight w:val="none"/>
          <w:lang w:val="zh-CN"/>
        </w:rPr>
        <w:t>(一)“三公”经费财政拨款支出总体情况说明</w:t>
      </w:r>
    </w:p>
    <w:p w14:paraId="01652EAB">
      <w:pPr>
        <w:spacing w:before="100" w:beforeLines="0" w:after="100" w:afterLines="0"/>
        <w:ind w:firstLine="640" w:firstLineChars="200"/>
        <w:jc w:val="left"/>
        <w:rPr>
          <w:rFonts w:hint="eastAsia" w:ascii="仿宋" w:hAnsi="仿宋" w:eastAsia="仿宋" w:cs="仿宋"/>
          <w:color w:val="auto"/>
          <w:sz w:val="32"/>
          <w:szCs w:val="32"/>
          <w:highlight w:val="none"/>
          <w:lang w:val="zh-CN"/>
        </w:rPr>
      </w:pPr>
      <w:r>
        <w:rPr>
          <w:rFonts w:hint="eastAsia" w:ascii="仿宋" w:hAnsi="仿宋" w:eastAsia="仿宋" w:cs="仿宋"/>
          <w:color w:val="auto"/>
          <w:sz w:val="32"/>
          <w:szCs w:val="32"/>
          <w:highlight w:val="none"/>
          <w:lang w:val="zh-CN"/>
        </w:rPr>
        <w:t>2022年度“三公”经费支出</w:t>
      </w:r>
      <w:r>
        <w:rPr>
          <w:rFonts w:hint="eastAsia" w:ascii="仿宋" w:hAnsi="仿宋" w:eastAsia="仿宋" w:cs="仿宋"/>
          <w:color w:val="auto"/>
          <w:sz w:val="32"/>
          <w:szCs w:val="32"/>
          <w:highlight w:val="none"/>
          <w:lang w:val="en-US"/>
        </w:rPr>
        <w:t>全年</w:t>
      </w:r>
      <w:r>
        <w:rPr>
          <w:rFonts w:hint="eastAsia" w:ascii="仿宋" w:hAnsi="仿宋" w:eastAsia="仿宋" w:cs="仿宋"/>
          <w:color w:val="auto"/>
          <w:sz w:val="32"/>
          <w:szCs w:val="32"/>
          <w:highlight w:val="none"/>
          <w:lang w:val="zh-CN"/>
        </w:rPr>
        <w:t>预算数为0.43万元,支出决算为0.00万元,决算数小于预算数的主要原因是严格执行政府过紧日子要求，压减“三公经费”，因此本年度没有三公支出,</w:t>
      </w:r>
      <w:r>
        <w:rPr>
          <w:rFonts w:hint="eastAsia" w:ascii="仿宋" w:hAnsi="仿宋" w:eastAsia="仿宋" w:cs="仿宋"/>
          <w:color w:val="auto"/>
          <w:sz w:val="32"/>
          <w:szCs w:val="32"/>
          <w:highlight w:val="none"/>
          <w:lang w:val="en-US"/>
        </w:rPr>
        <w:t>较上年决算数</w:t>
      </w:r>
      <w:r>
        <w:rPr>
          <w:rFonts w:hint="eastAsia" w:ascii="仿宋" w:hAnsi="仿宋" w:eastAsia="仿宋" w:cs="仿宋"/>
          <w:color w:val="auto"/>
          <w:sz w:val="32"/>
          <w:szCs w:val="32"/>
          <w:highlight w:val="none"/>
          <w:lang w:val="en-US" w:eastAsia="zh-CN"/>
        </w:rPr>
        <w:t>减少0.0</w:t>
      </w:r>
      <w:r>
        <w:rPr>
          <w:rFonts w:hint="eastAsia" w:ascii="仿宋" w:hAnsi="仿宋" w:eastAsia="仿宋" w:cs="仿宋"/>
          <w:color w:val="auto"/>
          <w:sz w:val="32"/>
          <w:szCs w:val="32"/>
          <w:highlight w:val="none"/>
          <w:lang w:val="zh-CN"/>
        </w:rPr>
        <w:t>万元</w:t>
      </w:r>
      <w:r>
        <w:rPr>
          <w:rFonts w:hint="eastAsia" w:ascii="仿宋" w:hAnsi="仿宋" w:eastAsia="仿宋" w:cs="仿宋"/>
          <w:color w:val="auto"/>
          <w:sz w:val="32"/>
          <w:szCs w:val="32"/>
          <w:highlight w:val="none"/>
          <w:lang w:val="en-US"/>
        </w:rPr>
        <w:t>,</w:t>
      </w:r>
      <w:r>
        <w:rPr>
          <w:rFonts w:hint="eastAsia" w:ascii="仿宋" w:hAnsi="仿宋" w:eastAsia="仿宋" w:cs="仿宋"/>
          <w:color w:val="auto"/>
          <w:sz w:val="32"/>
          <w:szCs w:val="32"/>
          <w:highlight w:val="none"/>
          <w:lang w:val="en-US" w:eastAsia="zh-CN"/>
        </w:rPr>
        <w:t>下降0.00</w:t>
      </w:r>
      <w:r>
        <w:rPr>
          <w:rFonts w:hint="eastAsia" w:ascii="仿宋" w:hAnsi="仿宋" w:eastAsia="仿宋" w:cs="仿宋"/>
          <w:color w:val="auto"/>
          <w:sz w:val="32"/>
          <w:szCs w:val="32"/>
          <w:highlight w:val="none"/>
          <w:lang w:val="zh-CN"/>
        </w:rPr>
        <w:t>%</w:t>
      </w:r>
      <w:r>
        <w:rPr>
          <w:rFonts w:hint="eastAsia" w:ascii="仿宋" w:hAnsi="仿宋" w:eastAsia="仿宋" w:cs="仿宋"/>
          <w:color w:val="auto"/>
          <w:sz w:val="32"/>
          <w:szCs w:val="32"/>
          <w:highlight w:val="none"/>
          <w:lang w:val="en-US"/>
        </w:rPr>
        <w:t>,主要原因是</w:t>
      </w:r>
      <w:r>
        <w:rPr>
          <w:rFonts w:hint="eastAsia" w:ascii="仿宋" w:hAnsi="仿宋" w:eastAsia="仿宋" w:cs="仿宋"/>
          <w:color w:val="auto"/>
          <w:sz w:val="32"/>
          <w:szCs w:val="32"/>
          <w:highlight w:val="none"/>
          <w:lang w:val="en-US" w:eastAsia="zh-CN"/>
        </w:rPr>
        <w:t>本年度没有三公支出</w:t>
      </w:r>
      <w:r>
        <w:rPr>
          <w:rFonts w:hint="eastAsia" w:ascii="仿宋" w:hAnsi="仿宋" w:eastAsia="仿宋" w:cs="仿宋"/>
          <w:color w:val="auto"/>
          <w:sz w:val="32"/>
          <w:szCs w:val="32"/>
          <w:highlight w:val="none"/>
          <w:lang w:val="zh-CN"/>
        </w:rPr>
        <w:t>。</w:t>
      </w:r>
    </w:p>
    <w:p w14:paraId="08F1F2D0">
      <w:pPr>
        <w:spacing w:before="100" w:beforeLines="0" w:after="100" w:afterLines="0"/>
        <w:ind w:firstLine="643" w:firstLineChars="200"/>
        <w:jc w:val="left"/>
        <w:rPr>
          <w:rFonts w:hint="eastAsia" w:ascii="仿宋" w:hAnsi="仿宋" w:eastAsia="仿宋" w:cs="仿宋"/>
          <w:color w:val="auto"/>
          <w:sz w:val="32"/>
          <w:szCs w:val="32"/>
          <w:lang w:val="zh-CN"/>
        </w:rPr>
      </w:pPr>
      <w:r>
        <w:rPr>
          <w:rFonts w:hint="eastAsia" w:ascii="仿宋" w:hAnsi="仿宋" w:eastAsia="仿宋" w:cs="仿宋"/>
          <w:b/>
          <w:color w:val="auto"/>
          <w:sz w:val="32"/>
          <w:szCs w:val="32"/>
          <w:lang w:val="zh-CN"/>
        </w:rPr>
        <w:t>(二)“三公”经费财政拨款支出决算具体情况说明</w:t>
      </w:r>
    </w:p>
    <w:p w14:paraId="37EB9651">
      <w:pPr>
        <w:spacing w:before="100" w:beforeLines="0" w:after="100" w:afterLines="0"/>
        <w:ind w:firstLine="643" w:firstLineChars="200"/>
        <w:jc w:val="left"/>
        <w:rPr>
          <w:rFonts w:hint="eastAsia" w:ascii="仿宋" w:hAnsi="仿宋" w:eastAsia="仿宋" w:cs="仿宋"/>
          <w:color w:val="auto"/>
          <w:sz w:val="32"/>
          <w:szCs w:val="32"/>
          <w:lang w:val="zh-CN"/>
        </w:rPr>
      </w:pPr>
      <w:r>
        <w:rPr>
          <w:rFonts w:hint="eastAsia" w:ascii="仿宋" w:hAnsi="仿宋" w:eastAsia="仿宋" w:cs="仿宋"/>
          <w:b/>
          <w:color w:val="auto"/>
          <w:sz w:val="32"/>
          <w:szCs w:val="32"/>
          <w:lang w:val="zh-CN"/>
        </w:rPr>
        <w:t>1、因公出国(境)费用</w:t>
      </w:r>
      <w:r>
        <w:rPr>
          <w:rFonts w:hint="eastAsia" w:ascii="仿宋" w:hAnsi="仿宋" w:eastAsia="仿宋" w:cs="仿宋"/>
          <w:color w:val="auto"/>
          <w:sz w:val="32"/>
          <w:szCs w:val="32"/>
          <w:lang w:val="en-US"/>
        </w:rPr>
        <w:t>全年</w:t>
      </w:r>
      <w:r>
        <w:rPr>
          <w:rFonts w:hint="eastAsia" w:ascii="仿宋" w:hAnsi="仿宋" w:eastAsia="仿宋" w:cs="仿宋"/>
          <w:color w:val="auto"/>
          <w:sz w:val="32"/>
          <w:szCs w:val="32"/>
          <w:lang w:val="zh-CN"/>
        </w:rPr>
        <w:t>预算数为0.00万元,支出决算为0.00万元,</w:t>
      </w:r>
      <w:r>
        <w:rPr>
          <w:rFonts w:hint="eastAsia" w:ascii="仿宋" w:hAnsi="仿宋" w:eastAsia="仿宋" w:cs="仿宋"/>
          <w:color w:val="auto"/>
          <w:sz w:val="32"/>
          <w:szCs w:val="32"/>
          <w:lang w:val="en-US"/>
        </w:rPr>
        <w:t>较上年决算数</w:t>
      </w:r>
      <w:r>
        <w:rPr>
          <w:rFonts w:hint="eastAsia" w:ascii="仿宋" w:hAnsi="仿宋" w:eastAsia="仿宋" w:cs="仿宋"/>
          <w:color w:val="auto"/>
          <w:sz w:val="32"/>
          <w:szCs w:val="32"/>
          <w:lang w:val="en-US" w:eastAsia="zh-CN"/>
        </w:rPr>
        <w:t>减少0.0</w:t>
      </w:r>
      <w:r>
        <w:rPr>
          <w:rFonts w:hint="eastAsia" w:ascii="仿宋" w:hAnsi="仿宋" w:eastAsia="仿宋" w:cs="仿宋"/>
          <w:color w:val="auto"/>
          <w:sz w:val="32"/>
          <w:szCs w:val="32"/>
          <w:lang w:val="zh-CN"/>
        </w:rPr>
        <w:t>万元</w:t>
      </w:r>
      <w:r>
        <w:rPr>
          <w:rFonts w:hint="eastAsia" w:ascii="仿宋" w:hAnsi="仿宋" w:eastAsia="仿宋" w:cs="仿宋"/>
          <w:color w:val="auto"/>
          <w:sz w:val="32"/>
          <w:szCs w:val="32"/>
          <w:lang w:val="en-US"/>
        </w:rPr>
        <w:t>,</w:t>
      </w:r>
      <w:r>
        <w:rPr>
          <w:rFonts w:hint="eastAsia" w:ascii="仿宋" w:hAnsi="仿宋" w:eastAsia="仿宋" w:cs="仿宋"/>
          <w:color w:val="auto"/>
          <w:sz w:val="32"/>
          <w:szCs w:val="32"/>
          <w:lang w:val="en-US" w:eastAsia="zh-CN"/>
        </w:rPr>
        <w:t>下降0.00</w:t>
      </w:r>
      <w:r>
        <w:rPr>
          <w:rFonts w:hint="eastAsia" w:ascii="仿宋" w:hAnsi="仿宋" w:eastAsia="仿宋" w:cs="仿宋"/>
          <w:color w:val="auto"/>
          <w:sz w:val="32"/>
          <w:szCs w:val="32"/>
          <w:lang w:val="zh-CN"/>
        </w:rPr>
        <w:t>%。</w:t>
      </w:r>
    </w:p>
    <w:p w14:paraId="7855EB73">
      <w:pPr>
        <w:spacing w:before="100" w:beforeLines="0" w:after="100" w:afterLines="0"/>
        <w:ind w:firstLine="643" w:firstLineChars="200"/>
        <w:jc w:val="left"/>
        <w:rPr>
          <w:rFonts w:hint="eastAsia" w:ascii="仿宋" w:hAnsi="仿宋" w:eastAsia="仿宋" w:cs="仿宋"/>
          <w:color w:val="auto"/>
          <w:sz w:val="32"/>
          <w:szCs w:val="32"/>
          <w:lang w:val="zh-CN" w:eastAsia="zh-CN"/>
        </w:rPr>
      </w:pPr>
      <w:r>
        <w:rPr>
          <w:rFonts w:hint="eastAsia" w:ascii="仿宋" w:hAnsi="仿宋" w:eastAsia="仿宋" w:cs="仿宋"/>
          <w:b/>
          <w:color w:val="auto"/>
          <w:sz w:val="32"/>
          <w:szCs w:val="32"/>
          <w:lang w:val="zh-CN"/>
        </w:rPr>
        <w:t>2、公务用车购置及运行维护费</w:t>
      </w:r>
      <w:r>
        <w:rPr>
          <w:rFonts w:hint="eastAsia" w:ascii="仿宋" w:hAnsi="仿宋" w:eastAsia="仿宋" w:cs="仿宋"/>
          <w:color w:val="auto"/>
          <w:sz w:val="32"/>
          <w:szCs w:val="32"/>
          <w:lang w:val="en-US"/>
        </w:rPr>
        <w:t>全年</w:t>
      </w:r>
      <w:r>
        <w:rPr>
          <w:rFonts w:hint="eastAsia" w:ascii="仿宋" w:hAnsi="仿宋" w:eastAsia="仿宋" w:cs="仿宋"/>
          <w:color w:val="auto"/>
          <w:sz w:val="32"/>
          <w:szCs w:val="32"/>
          <w:lang w:val="zh-CN"/>
        </w:rPr>
        <w:t>预算数为0.00万元,支出决算为0.00万元,</w:t>
      </w:r>
      <w:r>
        <w:rPr>
          <w:rFonts w:hint="eastAsia" w:ascii="仿宋" w:hAnsi="仿宋" w:eastAsia="仿宋" w:cs="仿宋"/>
          <w:color w:val="auto"/>
          <w:sz w:val="32"/>
          <w:szCs w:val="32"/>
          <w:lang w:val="en-US"/>
        </w:rPr>
        <w:t>较上年决算数</w:t>
      </w:r>
      <w:r>
        <w:rPr>
          <w:rFonts w:hint="eastAsia" w:ascii="仿宋" w:hAnsi="仿宋" w:eastAsia="仿宋" w:cs="仿宋"/>
          <w:color w:val="auto"/>
          <w:sz w:val="32"/>
          <w:szCs w:val="32"/>
          <w:lang w:val="en-US" w:eastAsia="zh-CN"/>
        </w:rPr>
        <w:t>减少0.0</w:t>
      </w:r>
      <w:r>
        <w:rPr>
          <w:rFonts w:hint="eastAsia" w:ascii="仿宋" w:hAnsi="仿宋" w:eastAsia="仿宋" w:cs="仿宋"/>
          <w:color w:val="auto"/>
          <w:sz w:val="32"/>
          <w:szCs w:val="32"/>
          <w:lang w:val="zh-CN"/>
        </w:rPr>
        <w:t>万元</w:t>
      </w:r>
      <w:r>
        <w:rPr>
          <w:rFonts w:hint="eastAsia" w:ascii="仿宋" w:hAnsi="仿宋" w:eastAsia="仿宋" w:cs="仿宋"/>
          <w:color w:val="auto"/>
          <w:sz w:val="32"/>
          <w:szCs w:val="32"/>
          <w:lang w:val="en-US"/>
        </w:rPr>
        <w:t>,</w:t>
      </w:r>
      <w:r>
        <w:rPr>
          <w:rFonts w:hint="eastAsia" w:ascii="仿宋" w:hAnsi="仿宋" w:eastAsia="仿宋" w:cs="仿宋"/>
          <w:color w:val="auto"/>
          <w:sz w:val="32"/>
          <w:szCs w:val="32"/>
          <w:lang w:val="en-US" w:eastAsia="zh-CN"/>
        </w:rPr>
        <w:t>下降0.00</w:t>
      </w:r>
      <w:r>
        <w:rPr>
          <w:rFonts w:hint="eastAsia" w:ascii="仿宋" w:hAnsi="仿宋" w:eastAsia="仿宋" w:cs="仿宋"/>
          <w:color w:val="auto"/>
          <w:sz w:val="32"/>
          <w:szCs w:val="32"/>
          <w:lang w:val="zh-CN"/>
        </w:rPr>
        <w:t>%</w:t>
      </w:r>
      <w:r>
        <w:rPr>
          <w:rFonts w:hint="eastAsia" w:ascii="仿宋" w:hAnsi="仿宋" w:eastAsia="仿宋" w:cs="仿宋"/>
          <w:color w:val="auto"/>
          <w:sz w:val="32"/>
          <w:szCs w:val="32"/>
          <w:lang w:val="en-US" w:eastAsia="zh-CN"/>
        </w:rPr>
        <w:t>.</w:t>
      </w:r>
    </w:p>
    <w:p w14:paraId="057743B5">
      <w:pPr>
        <w:spacing w:before="100" w:beforeLines="0" w:after="100" w:afterLines="0"/>
        <w:jc w:val="left"/>
        <w:rPr>
          <w:rFonts w:hint="eastAsia" w:ascii="仿宋" w:hAnsi="仿宋" w:eastAsia="仿宋" w:cs="仿宋"/>
          <w:color w:val="auto"/>
          <w:sz w:val="32"/>
          <w:szCs w:val="32"/>
          <w:lang w:val="zh-CN" w:eastAsia="zh-CN"/>
        </w:rPr>
      </w:pPr>
      <w:r>
        <w:rPr>
          <w:rFonts w:hint="eastAsia" w:ascii="仿宋" w:hAnsi="仿宋" w:eastAsia="仿宋" w:cs="仿宋"/>
          <w:b/>
          <w:color w:val="auto"/>
          <w:sz w:val="32"/>
          <w:szCs w:val="32"/>
          <w:lang w:val="zh-CN"/>
        </w:rPr>
        <w:t>其中：公务用车购置费</w:t>
      </w:r>
      <w:r>
        <w:rPr>
          <w:rFonts w:hint="eastAsia" w:ascii="仿宋" w:hAnsi="仿宋" w:eastAsia="仿宋" w:cs="仿宋"/>
          <w:color w:val="auto"/>
          <w:sz w:val="32"/>
          <w:szCs w:val="32"/>
          <w:lang w:val="en-US"/>
        </w:rPr>
        <w:t>全年</w:t>
      </w:r>
      <w:r>
        <w:rPr>
          <w:rFonts w:hint="eastAsia" w:ascii="仿宋" w:hAnsi="仿宋" w:eastAsia="仿宋" w:cs="仿宋"/>
          <w:color w:val="auto"/>
          <w:sz w:val="32"/>
          <w:szCs w:val="32"/>
          <w:lang w:val="zh-CN"/>
        </w:rPr>
        <w:t>预算数为0.00万元,支出决算为0.00万元,</w:t>
      </w:r>
      <w:r>
        <w:rPr>
          <w:rFonts w:hint="eastAsia" w:ascii="仿宋" w:hAnsi="仿宋" w:eastAsia="仿宋" w:cs="仿宋"/>
          <w:color w:val="auto"/>
          <w:sz w:val="32"/>
          <w:szCs w:val="32"/>
          <w:lang w:val="en-US"/>
        </w:rPr>
        <w:t>较上年决算数</w:t>
      </w:r>
      <w:r>
        <w:rPr>
          <w:rFonts w:hint="eastAsia" w:ascii="仿宋" w:hAnsi="仿宋" w:eastAsia="仿宋" w:cs="仿宋"/>
          <w:color w:val="auto"/>
          <w:sz w:val="32"/>
          <w:szCs w:val="32"/>
          <w:lang w:val="en-US" w:eastAsia="zh-CN"/>
        </w:rPr>
        <w:t>减少0.0</w:t>
      </w:r>
      <w:r>
        <w:rPr>
          <w:rFonts w:hint="eastAsia" w:ascii="仿宋" w:hAnsi="仿宋" w:eastAsia="仿宋" w:cs="仿宋"/>
          <w:color w:val="auto"/>
          <w:sz w:val="32"/>
          <w:szCs w:val="32"/>
          <w:lang w:val="zh-CN"/>
        </w:rPr>
        <w:t>万元</w:t>
      </w:r>
      <w:r>
        <w:rPr>
          <w:rFonts w:hint="eastAsia" w:ascii="仿宋" w:hAnsi="仿宋" w:eastAsia="仿宋" w:cs="仿宋"/>
          <w:color w:val="auto"/>
          <w:sz w:val="32"/>
          <w:szCs w:val="32"/>
          <w:lang w:val="en-US"/>
        </w:rPr>
        <w:t>,</w:t>
      </w:r>
      <w:r>
        <w:rPr>
          <w:rFonts w:hint="eastAsia" w:ascii="仿宋" w:hAnsi="仿宋" w:eastAsia="仿宋" w:cs="仿宋"/>
          <w:color w:val="auto"/>
          <w:sz w:val="32"/>
          <w:szCs w:val="32"/>
          <w:lang w:val="en-US" w:eastAsia="zh-CN"/>
        </w:rPr>
        <w:t>下降0.00</w:t>
      </w:r>
      <w:r>
        <w:rPr>
          <w:rFonts w:hint="eastAsia" w:ascii="仿宋" w:hAnsi="仿宋" w:eastAsia="仿宋" w:cs="仿宋"/>
          <w:color w:val="auto"/>
          <w:sz w:val="32"/>
          <w:szCs w:val="32"/>
          <w:lang w:val="zh-CN"/>
        </w:rPr>
        <w:t>%</w:t>
      </w:r>
      <w:r>
        <w:rPr>
          <w:rFonts w:hint="eastAsia" w:ascii="仿宋" w:hAnsi="仿宋" w:eastAsia="仿宋" w:cs="仿宋"/>
          <w:color w:val="auto"/>
          <w:sz w:val="32"/>
          <w:szCs w:val="32"/>
          <w:lang w:val="en-US" w:eastAsia="zh-CN"/>
        </w:rPr>
        <w:t>.</w:t>
      </w:r>
    </w:p>
    <w:p w14:paraId="3C118275">
      <w:pPr>
        <w:spacing w:before="100" w:beforeLines="0" w:after="100" w:afterLines="0"/>
        <w:ind w:firstLine="643" w:firstLineChars="200"/>
        <w:jc w:val="left"/>
        <w:rPr>
          <w:rFonts w:hint="eastAsia" w:ascii="仿宋" w:hAnsi="仿宋" w:eastAsia="仿宋" w:cs="仿宋"/>
          <w:color w:val="auto"/>
          <w:sz w:val="32"/>
          <w:szCs w:val="32"/>
          <w:lang w:val="en-US" w:eastAsia="zh-CN"/>
        </w:rPr>
      </w:pPr>
      <w:r>
        <w:rPr>
          <w:rFonts w:hint="eastAsia" w:ascii="仿宋" w:hAnsi="仿宋" w:eastAsia="仿宋" w:cs="仿宋"/>
          <w:b/>
          <w:color w:val="auto"/>
          <w:sz w:val="32"/>
          <w:szCs w:val="32"/>
          <w:lang w:val="zh-CN"/>
        </w:rPr>
        <w:t>公务用车运行维护费</w:t>
      </w:r>
      <w:r>
        <w:rPr>
          <w:rFonts w:hint="eastAsia" w:ascii="仿宋" w:hAnsi="仿宋" w:eastAsia="仿宋" w:cs="仿宋"/>
          <w:color w:val="auto"/>
          <w:sz w:val="32"/>
          <w:szCs w:val="32"/>
          <w:lang w:val="en-US"/>
        </w:rPr>
        <w:t>全年</w:t>
      </w:r>
      <w:r>
        <w:rPr>
          <w:rFonts w:hint="eastAsia" w:ascii="仿宋" w:hAnsi="仿宋" w:eastAsia="仿宋" w:cs="仿宋"/>
          <w:color w:val="auto"/>
          <w:sz w:val="32"/>
          <w:szCs w:val="32"/>
          <w:lang w:val="zh-CN"/>
        </w:rPr>
        <w:t>预算数为0.00万元,支出决算为0.00万元,</w:t>
      </w:r>
      <w:r>
        <w:rPr>
          <w:rFonts w:hint="eastAsia" w:ascii="仿宋" w:hAnsi="仿宋" w:eastAsia="仿宋" w:cs="仿宋"/>
          <w:color w:val="auto"/>
          <w:sz w:val="32"/>
          <w:szCs w:val="32"/>
          <w:lang w:val="en-US"/>
        </w:rPr>
        <w:t>较上年决算数</w:t>
      </w:r>
      <w:r>
        <w:rPr>
          <w:rFonts w:hint="eastAsia" w:ascii="仿宋" w:hAnsi="仿宋" w:eastAsia="仿宋" w:cs="仿宋"/>
          <w:color w:val="auto"/>
          <w:sz w:val="32"/>
          <w:szCs w:val="32"/>
          <w:lang w:val="en-US" w:eastAsia="zh-CN"/>
        </w:rPr>
        <w:t>减少0.0</w:t>
      </w:r>
      <w:r>
        <w:rPr>
          <w:rFonts w:hint="eastAsia" w:ascii="仿宋" w:hAnsi="仿宋" w:eastAsia="仿宋" w:cs="仿宋"/>
          <w:color w:val="auto"/>
          <w:sz w:val="32"/>
          <w:szCs w:val="32"/>
          <w:lang w:val="zh-CN"/>
        </w:rPr>
        <w:t>万元</w:t>
      </w:r>
      <w:r>
        <w:rPr>
          <w:rFonts w:hint="eastAsia" w:ascii="仿宋" w:hAnsi="仿宋" w:eastAsia="仿宋" w:cs="仿宋"/>
          <w:color w:val="auto"/>
          <w:sz w:val="32"/>
          <w:szCs w:val="32"/>
          <w:lang w:val="en-US"/>
        </w:rPr>
        <w:t>,</w:t>
      </w:r>
      <w:r>
        <w:rPr>
          <w:rFonts w:hint="eastAsia" w:ascii="仿宋" w:hAnsi="仿宋" w:eastAsia="仿宋" w:cs="仿宋"/>
          <w:color w:val="auto"/>
          <w:sz w:val="32"/>
          <w:szCs w:val="32"/>
          <w:lang w:val="en-US" w:eastAsia="zh-CN"/>
        </w:rPr>
        <w:t>下降0.00</w:t>
      </w:r>
      <w:r>
        <w:rPr>
          <w:rFonts w:hint="eastAsia" w:ascii="仿宋" w:hAnsi="仿宋" w:eastAsia="仿宋" w:cs="仿宋"/>
          <w:color w:val="auto"/>
          <w:sz w:val="32"/>
          <w:szCs w:val="32"/>
          <w:lang w:val="zh-CN"/>
        </w:rPr>
        <w:t>%</w:t>
      </w:r>
      <w:r>
        <w:rPr>
          <w:rFonts w:hint="eastAsia" w:ascii="仿宋" w:hAnsi="仿宋" w:eastAsia="仿宋" w:cs="仿宋"/>
          <w:color w:val="auto"/>
          <w:sz w:val="32"/>
          <w:szCs w:val="32"/>
          <w:lang w:val="en-US" w:eastAsia="zh-CN"/>
        </w:rPr>
        <w:t>.</w:t>
      </w:r>
    </w:p>
    <w:p w14:paraId="4E716B65">
      <w:pPr>
        <w:numPr>
          <w:ilvl w:val="0"/>
          <w:numId w:val="0"/>
        </w:numPr>
        <w:spacing w:before="100" w:beforeLines="0" w:after="100" w:afterLines="0"/>
        <w:jc w:val="left"/>
        <w:rPr>
          <w:rFonts w:hint="eastAsia" w:ascii="仿宋" w:hAnsi="仿宋" w:eastAsia="仿宋" w:cs="仿宋"/>
          <w:color w:val="auto"/>
          <w:sz w:val="32"/>
          <w:szCs w:val="32"/>
          <w:highlight w:val="none"/>
          <w:lang w:val="en-US" w:eastAsia="zh-CN"/>
        </w:rPr>
      </w:pPr>
      <w:r>
        <w:rPr>
          <w:rFonts w:hint="eastAsia" w:ascii="仿宋" w:hAnsi="仿宋" w:eastAsia="仿宋" w:cs="仿宋"/>
          <w:b/>
          <w:color w:val="auto"/>
          <w:sz w:val="32"/>
          <w:szCs w:val="32"/>
          <w:lang w:val="en-US" w:eastAsia="zh-CN"/>
        </w:rPr>
        <w:t xml:space="preserve">   3、</w:t>
      </w:r>
      <w:r>
        <w:rPr>
          <w:rFonts w:hint="eastAsia" w:ascii="仿宋" w:hAnsi="仿宋" w:eastAsia="仿宋" w:cs="仿宋"/>
          <w:b/>
          <w:color w:val="auto"/>
          <w:sz w:val="32"/>
          <w:szCs w:val="32"/>
          <w:lang w:val="zh-CN"/>
        </w:rPr>
        <w:t>公务接待费</w:t>
      </w:r>
      <w:r>
        <w:rPr>
          <w:rFonts w:hint="eastAsia" w:ascii="仿宋" w:hAnsi="仿宋" w:eastAsia="仿宋" w:cs="仿宋"/>
          <w:color w:val="auto"/>
          <w:sz w:val="32"/>
          <w:szCs w:val="32"/>
          <w:lang w:val="en-US"/>
        </w:rPr>
        <w:t>全</w:t>
      </w:r>
      <w:r>
        <w:rPr>
          <w:rFonts w:hint="eastAsia" w:ascii="仿宋" w:hAnsi="仿宋" w:eastAsia="仿宋" w:cs="仿宋"/>
          <w:color w:val="auto"/>
          <w:sz w:val="32"/>
          <w:szCs w:val="32"/>
          <w:lang w:val="zh-CN"/>
        </w:rPr>
        <w:t>年预算数为0.43万元,支出决算为0.00万元,决算数小于预算数的主要原</w:t>
      </w:r>
      <w:r>
        <w:rPr>
          <w:rFonts w:hint="eastAsia" w:ascii="仿宋" w:hAnsi="仿宋" w:eastAsia="仿宋" w:cs="仿宋"/>
          <w:color w:val="auto"/>
          <w:sz w:val="32"/>
          <w:szCs w:val="32"/>
          <w:highlight w:val="none"/>
          <w:lang w:val="zh-CN"/>
        </w:rPr>
        <w:t>因是严格执行政府过紧日子要求，压减“三公经费”，因此本年度没有公务接待,</w:t>
      </w:r>
      <w:r>
        <w:rPr>
          <w:rFonts w:hint="eastAsia" w:ascii="仿宋" w:hAnsi="仿宋" w:eastAsia="仿宋" w:cs="仿宋"/>
          <w:color w:val="auto"/>
          <w:sz w:val="32"/>
          <w:szCs w:val="32"/>
          <w:highlight w:val="none"/>
          <w:lang w:val="en-US"/>
        </w:rPr>
        <w:t>较上年决算数</w:t>
      </w:r>
      <w:r>
        <w:rPr>
          <w:rFonts w:hint="eastAsia" w:ascii="仿宋" w:hAnsi="仿宋" w:eastAsia="仿宋" w:cs="仿宋"/>
          <w:color w:val="auto"/>
          <w:sz w:val="32"/>
          <w:szCs w:val="32"/>
          <w:highlight w:val="none"/>
          <w:lang w:val="en-US" w:eastAsia="zh-CN"/>
        </w:rPr>
        <w:t>减少0.0</w:t>
      </w:r>
      <w:r>
        <w:rPr>
          <w:rFonts w:hint="eastAsia" w:ascii="仿宋" w:hAnsi="仿宋" w:eastAsia="仿宋" w:cs="仿宋"/>
          <w:color w:val="auto"/>
          <w:sz w:val="32"/>
          <w:szCs w:val="32"/>
          <w:highlight w:val="none"/>
          <w:lang w:val="zh-CN"/>
        </w:rPr>
        <w:t>万元</w:t>
      </w:r>
      <w:r>
        <w:rPr>
          <w:rFonts w:hint="eastAsia" w:ascii="仿宋" w:hAnsi="仿宋" w:eastAsia="仿宋" w:cs="仿宋"/>
          <w:color w:val="auto"/>
          <w:sz w:val="32"/>
          <w:szCs w:val="32"/>
          <w:highlight w:val="none"/>
          <w:lang w:val="en-US"/>
        </w:rPr>
        <w:t>,</w:t>
      </w:r>
      <w:r>
        <w:rPr>
          <w:rFonts w:hint="eastAsia" w:ascii="仿宋" w:hAnsi="仿宋" w:eastAsia="仿宋" w:cs="仿宋"/>
          <w:color w:val="auto"/>
          <w:sz w:val="32"/>
          <w:szCs w:val="32"/>
          <w:highlight w:val="none"/>
          <w:lang w:val="en-US" w:eastAsia="zh-CN"/>
        </w:rPr>
        <w:t>下降0.00</w:t>
      </w:r>
      <w:r>
        <w:rPr>
          <w:rFonts w:hint="eastAsia" w:ascii="仿宋" w:hAnsi="仿宋" w:eastAsia="仿宋" w:cs="仿宋"/>
          <w:color w:val="auto"/>
          <w:sz w:val="32"/>
          <w:szCs w:val="32"/>
          <w:highlight w:val="none"/>
          <w:lang w:val="zh-CN"/>
        </w:rPr>
        <w:t>%</w:t>
      </w:r>
      <w:r>
        <w:rPr>
          <w:rFonts w:hint="eastAsia" w:ascii="仿宋" w:hAnsi="仿宋" w:eastAsia="仿宋" w:cs="仿宋"/>
          <w:color w:val="auto"/>
          <w:sz w:val="32"/>
          <w:szCs w:val="32"/>
          <w:highlight w:val="none"/>
          <w:lang w:val="en-US" w:eastAsia="zh-CN"/>
        </w:rPr>
        <w:t>。</w:t>
      </w:r>
    </w:p>
    <w:p w14:paraId="3F3930A6">
      <w:pPr>
        <w:numPr>
          <w:ilvl w:val="0"/>
          <w:numId w:val="0"/>
        </w:numPr>
        <w:spacing w:before="100" w:beforeLines="0" w:after="100" w:afterLines="0"/>
        <w:ind w:firstLine="643" w:firstLineChars="200"/>
        <w:jc w:val="left"/>
        <w:rPr>
          <w:rFonts w:hint="eastAsia" w:ascii="仿宋" w:hAnsi="仿宋" w:eastAsia="仿宋" w:cs="仿宋"/>
          <w:color w:val="auto"/>
          <w:sz w:val="32"/>
          <w:szCs w:val="32"/>
          <w:lang w:val="zh-CN"/>
        </w:rPr>
      </w:pPr>
      <w:r>
        <w:rPr>
          <w:rFonts w:hint="eastAsia" w:ascii="仿宋" w:hAnsi="仿宋" w:eastAsia="仿宋" w:cs="仿宋"/>
          <w:b/>
          <w:color w:val="auto"/>
          <w:sz w:val="32"/>
          <w:szCs w:val="32"/>
          <w:lang w:val="zh-CN"/>
        </w:rPr>
        <w:t>(三)“三公”经费财政拨款支出决算实物量情况</w:t>
      </w:r>
    </w:p>
    <w:p w14:paraId="79240429">
      <w:pPr>
        <w:spacing w:before="100" w:beforeLines="0" w:after="100" w:afterLines="0"/>
        <w:ind w:firstLine="640" w:firstLineChars="200"/>
        <w:jc w:val="left"/>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2022年度本部门</w:t>
      </w:r>
      <w:r>
        <w:rPr>
          <w:rFonts w:hint="eastAsia" w:ascii="仿宋" w:hAnsi="仿宋" w:eastAsia="仿宋" w:cs="仿宋"/>
          <w:b/>
          <w:color w:val="auto"/>
          <w:sz w:val="32"/>
          <w:szCs w:val="32"/>
          <w:lang w:val="zh-CN"/>
        </w:rPr>
        <w:t>因公出国(境)</w:t>
      </w:r>
      <w:r>
        <w:rPr>
          <w:rFonts w:hint="eastAsia" w:ascii="仿宋" w:hAnsi="仿宋" w:eastAsia="仿宋" w:cs="仿宋"/>
          <w:color w:val="auto"/>
          <w:sz w:val="32"/>
          <w:szCs w:val="32"/>
          <w:lang w:val="zh-CN"/>
        </w:rPr>
        <w:t>共计0个团组,0人；</w:t>
      </w:r>
      <w:r>
        <w:rPr>
          <w:rFonts w:hint="eastAsia" w:ascii="仿宋" w:hAnsi="仿宋" w:eastAsia="仿宋" w:cs="仿宋"/>
          <w:b/>
          <w:color w:val="auto"/>
          <w:sz w:val="32"/>
          <w:szCs w:val="32"/>
          <w:lang w:val="zh-CN"/>
        </w:rPr>
        <w:t>公务用车购置</w:t>
      </w:r>
      <w:r>
        <w:rPr>
          <w:rFonts w:hint="eastAsia" w:ascii="仿宋" w:hAnsi="仿宋" w:eastAsia="仿宋" w:cs="仿宋"/>
          <w:color w:val="auto"/>
          <w:sz w:val="32"/>
          <w:szCs w:val="32"/>
          <w:lang w:val="zh-CN"/>
        </w:rPr>
        <w:t>0辆,</w:t>
      </w:r>
      <w:r>
        <w:rPr>
          <w:rFonts w:hint="eastAsia" w:ascii="仿宋" w:hAnsi="仿宋" w:eastAsia="仿宋" w:cs="仿宋"/>
          <w:b/>
          <w:color w:val="auto"/>
          <w:sz w:val="32"/>
          <w:szCs w:val="32"/>
          <w:lang w:val="zh-CN"/>
        </w:rPr>
        <w:t>公务用车保有量</w:t>
      </w:r>
      <w:r>
        <w:rPr>
          <w:rFonts w:hint="eastAsia" w:ascii="仿宋" w:hAnsi="仿宋" w:eastAsia="仿宋" w:cs="仿宋"/>
          <w:color w:val="auto"/>
          <w:sz w:val="32"/>
          <w:szCs w:val="32"/>
          <w:lang w:val="zh-CN"/>
        </w:rPr>
        <w:t>为0辆；</w:t>
      </w:r>
      <w:r>
        <w:rPr>
          <w:rFonts w:hint="eastAsia" w:ascii="仿宋" w:hAnsi="仿宋" w:eastAsia="仿宋" w:cs="仿宋"/>
          <w:b/>
          <w:color w:val="auto"/>
          <w:sz w:val="32"/>
          <w:szCs w:val="32"/>
          <w:lang w:val="zh-CN"/>
        </w:rPr>
        <w:t>国内公务接待</w:t>
      </w:r>
      <w:r>
        <w:rPr>
          <w:rFonts w:hint="eastAsia" w:ascii="仿宋" w:hAnsi="仿宋" w:eastAsia="仿宋" w:cs="仿宋"/>
          <w:color w:val="auto"/>
          <w:sz w:val="32"/>
          <w:szCs w:val="32"/>
          <w:lang w:val="zh-CN"/>
        </w:rPr>
        <w:t>0批次0人,其中：</w:t>
      </w:r>
      <w:r>
        <w:rPr>
          <w:rFonts w:hint="eastAsia" w:ascii="仿宋" w:hAnsi="仿宋" w:eastAsia="仿宋" w:cs="仿宋"/>
          <w:b/>
          <w:color w:val="auto"/>
          <w:sz w:val="32"/>
          <w:szCs w:val="32"/>
          <w:lang w:val="zh-CN"/>
        </w:rPr>
        <w:t>外事接待</w:t>
      </w:r>
      <w:r>
        <w:rPr>
          <w:rFonts w:hint="eastAsia" w:ascii="仿宋" w:hAnsi="仿宋" w:eastAsia="仿宋" w:cs="仿宋"/>
          <w:color w:val="auto"/>
          <w:sz w:val="32"/>
          <w:szCs w:val="32"/>
          <w:lang w:val="zh-CN"/>
        </w:rPr>
        <w:t>0批次,0人；</w:t>
      </w:r>
      <w:r>
        <w:rPr>
          <w:rFonts w:hint="eastAsia" w:ascii="仿宋" w:hAnsi="仿宋" w:eastAsia="仿宋" w:cs="仿宋"/>
          <w:b/>
          <w:color w:val="auto"/>
          <w:sz w:val="32"/>
          <w:szCs w:val="32"/>
          <w:lang w:val="zh-CN"/>
        </w:rPr>
        <w:t>国(境)外公务接待</w:t>
      </w:r>
      <w:r>
        <w:rPr>
          <w:rFonts w:hint="eastAsia" w:ascii="仿宋" w:hAnsi="仿宋" w:eastAsia="仿宋" w:cs="仿宋"/>
          <w:color w:val="auto"/>
          <w:sz w:val="32"/>
          <w:szCs w:val="32"/>
          <w:lang w:val="zh-CN"/>
        </w:rPr>
        <w:t>0批次,0人。</w:t>
      </w:r>
    </w:p>
    <w:p w14:paraId="74D01EEC">
      <w:pPr>
        <w:spacing w:before="100" w:beforeLines="0" w:after="100" w:afterLines="0"/>
        <w:jc w:val="center"/>
        <w:rPr>
          <w:rFonts w:hint="eastAsia" w:asciiTheme="majorEastAsia" w:hAnsiTheme="majorEastAsia" w:eastAsiaTheme="majorEastAsia" w:cstheme="majorEastAsia"/>
          <w:b/>
          <w:color w:val="auto"/>
          <w:sz w:val="32"/>
          <w:szCs w:val="32"/>
          <w:lang w:val="zh-CN"/>
        </w:rPr>
      </w:pPr>
      <w:r>
        <w:rPr>
          <w:rFonts w:hint="eastAsia" w:asciiTheme="majorEastAsia" w:hAnsiTheme="majorEastAsia" w:eastAsiaTheme="majorEastAsia" w:cstheme="majorEastAsia"/>
          <w:b/>
          <w:color w:val="auto"/>
          <w:sz w:val="32"/>
          <w:szCs w:val="32"/>
          <w:lang w:val="zh-CN"/>
        </w:rPr>
        <w:t>第四部分预算绩效情况说明</w:t>
      </w:r>
    </w:p>
    <w:p w14:paraId="7BD10AEC">
      <w:pPr>
        <w:spacing w:before="100" w:beforeLines="0" w:after="100" w:afterLines="0"/>
        <w:jc w:val="left"/>
        <w:rPr>
          <w:rFonts w:hint="eastAsia" w:asciiTheme="majorEastAsia" w:hAnsiTheme="majorEastAsia" w:eastAsiaTheme="majorEastAsia" w:cstheme="majorEastAsia"/>
          <w:color w:val="auto"/>
          <w:sz w:val="32"/>
          <w:szCs w:val="32"/>
          <w:lang w:val="zh-CN"/>
        </w:rPr>
      </w:pPr>
      <w:r>
        <w:rPr>
          <w:rFonts w:hint="eastAsia" w:asciiTheme="majorEastAsia" w:hAnsiTheme="majorEastAsia" w:eastAsiaTheme="majorEastAsia" w:cstheme="majorEastAsia"/>
          <w:b/>
          <w:color w:val="auto"/>
          <w:sz w:val="32"/>
          <w:szCs w:val="32"/>
          <w:lang w:val="zh-CN"/>
        </w:rPr>
        <w:t>一、预算绩效管理工作开展情况</w:t>
      </w:r>
    </w:p>
    <w:p w14:paraId="797C480D">
      <w:pPr>
        <w:keepNext/>
        <w:keepLines/>
        <w:suppressLineNumbers/>
        <w:spacing w:beforeLines="0" w:afterLines="0"/>
        <w:ind w:firstLine="640" w:firstLineChars="200"/>
        <w:jc w:val="left"/>
        <w:rPr>
          <w:rFonts w:hint="eastAsia" w:ascii="仿宋" w:hAnsi="仿宋" w:eastAsia="仿宋" w:cs="仿宋"/>
          <w:color w:val="auto"/>
          <w:sz w:val="32"/>
          <w:szCs w:val="32"/>
          <w:lang w:val="en-US" w:eastAsia="zh-CN"/>
        </w:rPr>
      </w:pPr>
      <w:r>
        <w:rPr>
          <w:rFonts w:hint="eastAsia" w:ascii="仿宋" w:hAnsi="仿宋" w:eastAsia="仿宋" w:cs="仿宋"/>
          <w:color w:val="auto"/>
          <w:kern w:val="0"/>
          <w:sz w:val="32"/>
          <w:szCs w:val="32"/>
          <w:lang w:val="en-US"/>
        </w:rPr>
        <w:t>根据预算绩效管理要求,本部门对2022年度一般公共预算项目支出全面开展绩效自评,其中,一级项目</w:t>
      </w:r>
      <w:r>
        <w:rPr>
          <w:rFonts w:hint="eastAsia" w:ascii="仿宋" w:hAnsi="仿宋" w:eastAsia="仿宋" w:cs="仿宋"/>
          <w:color w:val="auto"/>
          <w:kern w:val="0"/>
          <w:sz w:val="32"/>
          <w:szCs w:val="32"/>
          <w:lang w:val="en-US" w:eastAsia="zh-CN"/>
        </w:rPr>
        <w:t>2</w:t>
      </w:r>
      <w:r>
        <w:rPr>
          <w:rFonts w:hint="eastAsia" w:ascii="仿宋" w:hAnsi="仿宋" w:eastAsia="仿宋" w:cs="仿宋"/>
          <w:color w:val="auto"/>
          <w:kern w:val="0"/>
          <w:sz w:val="32"/>
          <w:szCs w:val="32"/>
          <w:lang w:val="en-US"/>
        </w:rPr>
        <w:t>个,二级项目</w:t>
      </w:r>
      <w:r>
        <w:rPr>
          <w:rFonts w:hint="eastAsia" w:ascii="仿宋" w:hAnsi="仿宋" w:eastAsia="仿宋" w:cs="仿宋"/>
          <w:color w:val="auto"/>
          <w:kern w:val="0"/>
          <w:sz w:val="32"/>
          <w:szCs w:val="32"/>
          <w:lang w:val="en-US" w:eastAsia="zh-CN"/>
        </w:rPr>
        <w:t>0</w:t>
      </w:r>
      <w:r>
        <w:rPr>
          <w:rFonts w:hint="eastAsia" w:ascii="仿宋" w:hAnsi="仿宋" w:eastAsia="仿宋" w:cs="仿宋"/>
          <w:color w:val="auto"/>
          <w:kern w:val="0"/>
          <w:sz w:val="32"/>
          <w:szCs w:val="32"/>
          <w:lang w:val="en-US"/>
        </w:rPr>
        <w:t>个,共涉及资金</w:t>
      </w:r>
      <w:r>
        <w:rPr>
          <w:rFonts w:hint="eastAsia" w:ascii="仿宋" w:hAnsi="仿宋" w:eastAsia="仿宋" w:cs="仿宋"/>
          <w:color w:val="auto"/>
          <w:kern w:val="0"/>
          <w:sz w:val="32"/>
          <w:szCs w:val="32"/>
          <w:lang w:val="en-US" w:eastAsia="zh-CN"/>
        </w:rPr>
        <w:t>489</w:t>
      </w:r>
      <w:r>
        <w:rPr>
          <w:rFonts w:hint="eastAsia" w:ascii="仿宋" w:hAnsi="仿宋" w:eastAsia="仿宋" w:cs="仿宋"/>
          <w:color w:val="auto"/>
          <w:kern w:val="0"/>
          <w:sz w:val="32"/>
          <w:szCs w:val="32"/>
          <w:lang w:val="en-US"/>
        </w:rPr>
        <w:t>万元,占一般公共预算项目支出总额的</w:t>
      </w:r>
      <w:r>
        <w:rPr>
          <w:rFonts w:hint="eastAsia" w:ascii="仿宋" w:hAnsi="仿宋" w:eastAsia="仿宋" w:cs="仿宋"/>
          <w:color w:val="auto"/>
          <w:kern w:val="0"/>
          <w:sz w:val="32"/>
          <w:szCs w:val="32"/>
          <w:lang w:val="en-US" w:eastAsia="zh-CN"/>
        </w:rPr>
        <w:t>43.5</w:t>
      </w:r>
      <w:r>
        <w:rPr>
          <w:rFonts w:hint="eastAsia" w:ascii="仿宋" w:hAnsi="仿宋" w:eastAsia="仿宋" w:cs="仿宋"/>
          <w:color w:val="auto"/>
          <w:kern w:val="0"/>
          <w:sz w:val="32"/>
          <w:szCs w:val="32"/>
          <w:lang w:val="en-US"/>
        </w:rPr>
        <w:t>%。从评价情况来看,</w:t>
      </w:r>
      <w:r>
        <w:rPr>
          <w:rFonts w:hint="eastAsia" w:ascii="仿宋" w:hAnsi="仿宋" w:eastAsia="仿宋" w:cs="仿宋"/>
          <w:color w:val="auto"/>
          <w:kern w:val="0"/>
          <w:sz w:val="32"/>
          <w:szCs w:val="32"/>
          <w:lang w:val="en-US" w:eastAsia="zh-CN"/>
        </w:rPr>
        <w:t>2022年度一般公共预算项目数据准确、真实，很好的完成了年初设定的绩效目标。</w:t>
      </w:r>
    </w:p>
    <w:p w14:paraId="013E0B44">
      <w:pPr>
        <w:spacing w:before="100" w:beforeLines="0" w:after="100" w:afterLines="0"/>
        <w:jc w:val="left"/>
        <w:rPr>
          <w:rFonts w:hint="eastAsia" w:ascii="仿宋" w:hAnsi="仿宋" w:eastAsia="仿宋" w:cs="仿宋"/>
          <w:bCs/>
          <w:sz w:val="32"/>
          <w:szCs w:val="32"/>
          <w:lang w:val="en-US" w:eastAsia="zh-CN"/>
        </w:rPr>
      </w:pPr>
      <w:r>
        <w:rPr>
          <w:rFonts w:hint="eastAsia" w:asciiTheme="majorEastAsia" w:hAnsiTheme="majorEastAsia" w:eastAsiaTheme="majorEastAsia" w:cstheme="majorEastAsia"/>
          <w:b/>
          <w:color w:val="auto"/>
          <w:sz w:val="32"/>
          <w:szCs w:val="32"/>
          <w:lang w:val="zh-CN"/>
        </w:rPr>
        <w:t>二、绩效自评结果</w:t>
      </w:r>
    </w:p>
    <w:p w14:paraId="5D3CE9AA">
      <w:pPr>
        <w:numPr>
          <w:ilvl w:val="0"/>
          <w:numId w:val="0"/>
        </w:numPr>
        <w:spacing w:before="100" w:beforeLines="0" w:after="100" w:afterLines="0"/>
        <w:jc w:val="left"/>
        <w:rPr>
          <w:rFonts w:hint="eastAsia" w:asciiTheme="majorEastAsia" w:hAnsiTheme="majorEastAsia" w:eastAsiaTheme="majorEastAsia" w:cstheme="majorEastAsia"/>
          <w:b/>
          <w:bCs w:val="0"/>
          <w:sz w:val="32"/>
          <w:szCs w:val="32"/>
          <w:lang w:val="en-US" w:eastAsia="zh-CN"/>
        </w:rPr>
      </w:pPr>
      <w:r>
        <w:rPr>
          <w:rFonts w:hint="eastAsia" w:asciiTheme="majorEastAsia" w:hAnsiTheme="majorEastAsia" w:eastAsiaTheme="majorEastAsia" w:cstheme="majorEastAsia"/>
          <w:b/>
          <w:bCs w:val="0"/>
          <w:sz w:val="32"/>
          <w:szCs w:val="32"/>
          <w:lang w:val="en-US" w:eastAsia="zh-CN"/>
        </w:rPr>
        <w:t>（一）驻村帮扶工作人员经费项目</w:t>
      </w:r>
    </w:p>
    <w:p w14:paraId="4E93450B">
      <w:pPr>
        <w:numPr>
          <w:ilvl w:val="0"/>
          <w:numId w:val="1"/>
        </w:numPr>
        <w:spacing w:before="100" w:beforeLines="0" w:after="100" w:afterLines="0"/>
        <w:jc w:val="left"/>
        <w:rPr>
          <w:rFonts w:hint="eastAsia" w:asciiTheme="majorEastAsia" w:hAnsiTheme="majorEastAsia" w:eastAsiaTheme="majorEastAsia" w:cstheme="majorEastAsia"/>
          <w:b/>
          <w:bCs w:val="0"/>
          <w:sz w:val="32"/>
          <w:szCs w:val="32"/>
          <w:lang w:val="en-US" w:eastAsia="zh-CN"/>
        </w:rPr>
      </w:pPr>
      <w:r>
        <w:rPr>
          <w:rFonts w:hint="eastAsia" w:asciiTheme="majorEastAsia" w:hAnsiTheme="majorEastAsia" w:eastAsiaTheme="majorEastAsia" w:cstheme="majorEastAsia"/>
          <w:b/>
          <w:bCs w:val="0"/>
          <w:sz w:val="32"/>
          <w:szCs w:val="32"/>
          <w:lang w:val="en-US" w:eastAsia="zh-CN"/>
        </w:rPr>
        <w:t>驻村帮扶工作人员经费自评表</w:t>
      </w:r>
    </w:p>
    <w:p w14:paraId="4D14500F">
      <w:pPr>
        <w:numPr>
          <w:ilvl w:val="0"/>
          <w:numId w:val="0"/>
        </w:numPr>
        <w:spacing w:before="100" w:beforeLines="0" w:after="100" w:afterLines="0"/>
        <w:jc w:val="left"/>
        <w:rPr>
          <w:rFonts w:hint="eastAsia" w:ascii="仿宋" w:hAnsi="仿宋" w:eastAsia="仿宋" w:cs="仿宋"/>
          <w:color w:val="auto"/>
          <w:kern w:val="0"/>
          <w:sz w:val="32"/>
          <w:szCs w:val="32"/>
          <w:lang w:val="en-US"/>
        </w:rPr>
      </w:pPr>
      <w:r>
        <w:rPr>
          <w:rFonts w:hint="default" w:ascii="仿宋_GB2312" w:hAnsi="仿宋_GB2312" w:eastAsia="仿宋_GB2312" w:cs="仿宋_GB2312"/>
          <w:bCs/>
          <w:sz w:val="32"/>
          <w:szCs w:val="32"/>
          <w:lang w:val="en-US" w:eastAsia="zh-CN"/>
        </w:rPr>
        <w:object>
          <v:shape id="_x0000_i1025" o:spt="75" alt="" type="#_x0000_t75" style="height:580.15pt;width:479.75pt;" o:ole="t" filled="f" o:preferrelative="t" stroked="f" coordsize="21600,21600">
            <v:path/>
            <v:fill on="f" focussize="0,0"/>
            <v:stroke on="f"/>
            <v:imagedata r:id="rId5" o:title=""/>
            <o:lock v:ext="edit" aspectratio="t"/>
            <w10:wrap type="none"/>
            <w10:anchorlock/>
          </v:shape>
          <o:OLEObject Type="Embed" ProgID="Excel.Sheet.12" ShapeID="_x0000_i1025" DrawAspect="Content" ObjectID="_1468075725" r:id="rId4">
            <o:LockedField>false</o:LockedField>
          </o:OLEObject>
        </w:object>
      </w:r>
      <w:r>
        <w:rPr>
          <w:rFonts w:hint="eastAsia" w:asciiTheme="majorEastAsia" w:hAnsiTheme="majorEastAsia" w:eastAsiaTheme="majorEastAsia" w:cstheme="majorEastAsia"/>
          <w:b/>
          <w:bCs w:val="0"/>
          <w:color w:val="auto"/>
          <w:sz w:val="32"/>
          <w:szCs w:val="32"/>
          <w:lang w:val="en-US" w:eastAsia="zh-CN"/>
        </w:rPr>
        <w:t>2、</w:t>
      </w:r>
      <w:r>
        <w:rPr>
          <w:rFonts w:hint="eastAsia" w:asciiTheme="majorEastAsia" w:hAnsiTheme="majorEastAsia" w:eastAsiaTheme="majorEastAsia" w:cstheme="majorEastAsia"/>
          <w:b/>
          <w:bCs w:val="0"/>
          <w:color w:val="auto"/>
          <w:kern w:val="0"/>
          <w:sz w:val="32"/>
          <w:szCs w:val="32"/>
          <w:lang w:val="en-US" w:eastAsia="zh-CN"/>
        </w:rPr>
        <w:t>驻村帮扶工作经费</w:t>
      </w:r>
      <w:r>
        <w:rPr>
          <w:rFonts w:hint="eastAsia" w:asciiTheme="majorEastAsia" w:hAnsiTheme="majorEastAsia" w:eastAsiaTheme="majorEastAsia" w:cstheme="majorEastAsia"/>
          <w:b/>
          <w:bCs w:val="0"/>
          <w:color w:val="auto"/>
          <w:kern w:val="0"/>
          <w:sz w:val="32"/>
          <w:szCs w:val="32"/>
          <w:lang w:val="en-US"/>
        </w:rPr>
        <w:t>项目绩效自评情况</w:t>
      </w:r>
    </w:p>
    <w:p w14:paraId="59A8E98A">
      <w:pPr>
        <w:numPr>
          <w:ilvl w:val="0"/>
          <w:numId w:val="0"/>
        </w:numPr>
        <w:spacing w:before="100" w:beforeLines="0" w:after="100" w:afterLines="0"/>
        <w:ind w:firstLine="640" w:firstLineChars="200"/>
        <w:jc w:val="left"/>
        <w:rPr>
          <w:rFonts w:hint="eastAsia" w:ascii="仿宋" w:hAnsi="仿宋" w:eastAsia="仿宋" w:cs="仿宋"/>
          <w:color w:val="auto"/>
          <w:kern w:val="0"/>
          <w:sz w:val="32"/>
          <w:szCs w:val="32"/>
          <w:lang w:val="en-US"/>
        </w:rPr>
      </w:pPr>
      <w:r>
        <w:rPr>
          <w:rFonts w:hint="eastAsia" w:ascii="仿宋" w:hAnsi="仿宋" w:eastAsia="仿宋" w:cs="仿宋"/>
          <w:color w:val="auto"/>
          <w:kern w:val="0"/>
          <w:sz w:val="32"/>
          <w:szCs w:val="32"/>
          <w:lang w:val="en-US"/>
        </w:rPr>
        <w:t>根据年初设定的绩效目标,项目绩效自评得分为</w:t>
      </w:r>
      <w:r>
        <w:rPr>
          <w:rFonts w:hint="eastAsia" w:ascii="仿宋" w:hAnsi="仿宋" w:eastAsia="仿宋" w:cs="仿宋"/>
          <w:color w:val="auto"/>
          <w:kern w:val="0"/>
          <w:sz w:val="32"/>
          <w:szCs w:val="32"/>
          <w:lang w:val="en-US" w:eastAsia="zh-CN"/>
        </w:rPr>
        <w:t>100</w:t>
      </w:r>
      <w:r>
        <w:rPr>
          <w:rFonts w:hint="eastAsia" w:ascii="仿宋" w:hAnsi="仿宋" w:eastAsia="仿宋" w:cs="仿宋"/>
          <w:color w:val="auto"/>
          <w:kern w:val="0"/>
          <w:sz w:val="32"/>
          <w:szCs w:val="32"/>
          <w:lang w:val="en-US"/>
        </w:rPr>
        <w:t>分。项目全年预算数为</w:t>
      </w:r>
      <w:r>
        <w:rPr>
          <w:rFonts w:hint="eastAsia" w:ascii="仿宋" w:hAnsi="仿宋" w:eastAsia="仿宋" w:cs="仿宋"/>
          <w:color w:val="auto"/>
          <w:kern w:val="0"/>
          <w:sz w:val="32"/>
          <w:szCs w:val="32"/>
          <w:lang w:val="en-US" w:eastAsia="zh-CN"/>
        </w:rPr>
        <w:t>9</w:t>
      </w:r>
      <w:r>
        <w:rPr>
          <w:rFonts w:hint="eastAsia" w:ascii="仿宋" w:hAnsi="仿宋" w:eastAsia="仿宋" w:cs="仿宋"/>
          <w:color w:val="auto"/>
          <w:kern w:val="0"/>
          <w:sz w:val="32"/>
          <w:szCs w:val="32"/>
          <w:lang w:val="en-US"/>
        </w:rPr>
        <w:t>万元,执行数为</w:t>
      </w:r>
      <w:r>
        <w:rPr>
          <w:rFonts w:hint="eastAsia" w:ascii="仿宋" w:hAnsi="仿宋" w:eastAsia="仿宋" w:cs="仿宋"/>
          <w:color w:val="auto"/>
          <w:kern w:val="0"/>
          <w:sz w:val="32"/>
          <w:szCs w:val="32"/>
          <w:lang w:val="en-US" w:eastAsia="zh-CN"/>
        </w:rPr>
        <w:t>9</w:t>
      </w:r>
      <w:r>
        <w:rPr>
          <w:rFonts w:hint="eastAsia" w:ascii="仿宋" w:hAnsi="仿宋" w:eastAsia="仿宋" w:cs="仿宋"/>
          <w:color w:val="auto"/>
          <w:kern w:val="0"/>
          <w:sz w:val="32"/>
          <w:szCs w:val="32"/>
          <w:lang w:val="en-US"/>
        </w:rPr>
        <w:t>万元,完成预算的</w:t>
      </w:r>
      <w:r>
        <w:rPr>
          <w:rFonts w:hint="eastAsia" w:ascii="仿宋" w:hAnsi="仿宋" w:eastAsia="仿宋" w:cs="仿宋"/>
          <w:color w:val="auto"/>
          <w:kern w:val="0"/>
          <w:sz w:val="32"/>
          <w:szCs w:val="32"/>
          <w:lang w:val="en-US" w:eastAsia="zh-CN"/>
        </w:rPr>
        <w:t>100</w:t>
      </w:r>
      <w:r>
        <w:rPr>
          <w:rFonts w:hint="eastAsia" w:ascii="仿宋" w:hAnsi="仿宋" w:eastAsia="仿宋" w:cs="仿宋"/>
          <w:color w:val="auto"/>
          <w:kern w:val="0"/>
          <w:sz w:val="32"/>
          <w:szCs w:val="32"/>
          <w:lang w:val="en-US"/>
        </w:rPr>
        <w:t>%。项目绩效目标完成情况：一是</w:t>
      </w:r>
      <w:r>
        <w:rPr>
          <w:rFonts w:hint="eastAsia" w:ascii="仿宋" w:hAnsi="仿宋" w:eastAsia="仿宋" w:cs="仿宋"/>
          <w:color w:val="auto"/>
          <w:kern w:val="0"/>
          <w:sz w:val="32"/>
          <w:szCs w:val="32"/>
          <w:lang w:val="en-US" w:eastAsia="zh-CN"/>
        </w:rPr>
        <w:t>为驻村帮扶队员每人每年购买人身意外伤害保险</w:t>
      </w:r>
      <w:r>
        <w:rPr>
          <w:rFonts w:hint="eastAsia" w:ascii="仿宋" w:hAnsi="仿宋" w:eastAsia="仿宋" w:cs="仿宋"/>
          <w:color w:val="auto"/>
          <w:kern w:val="0"/>
          <w:sz w:val="32"/>
          <w:szCs w:val="32"/>
          <w:lang w:val="en-US"/>
        </w:rPr>
        <w:t>；二是</w:t>
      </w:r>
      <w:r>
        <w:rPr>
          <w:rFonts w:hint="eastAsia" w:ascii="仿宋" w:hAnsi="仿宋" w:eastAsia="仿宋" w:cs="仿宋"/>
          <w:color w:val="auto"/>
          <w:kern w:val="0"/>
          <w:sz w:val="32"/>
          <w:szCs w:val="32"/>
          <w:lang w:val="en-US" w:eastAsia="zh-CN"/>
        </w:rPr>
        <w:t>依据驻村乡镇党委考勤表按月报销交通补助、通信费、生活补助</w:t>
      </w:r>
      <w:r>
        <w:rPr>
          <w:rFonts w:hint="eastAsia" w:ascii="仿宋" w:hAnsi="仿宋" w:eastAsia="仿宋" w:cs="仿宋"/>
          <w:color w:val="auto"/>
          <w:kern w:val="0"/>
          <w:sz w:val="32"/>
          <w:szCs w:val="32"/>
          <w:lang w:val="en-US"/>
        </w:rPr>
        <w:t>。</w:t>
      </w:r>
    </w:p>
    <w:p w14:paraId="1989F56E">
      <w:pPr>
        <w:numPr>
          <w:ilvl w:val="0"/>
          <w:numId w:val="0"/>
        </w:numPr>
        <w:spacing w:before="100" w:beforeLines="0" w:after="100" w:afterLines="0"/>
        <w:jc w:val="left"/>
        <w:rPr>
          <w:rFonts w:hint="eastAsia" w:asciiTheme="majorEastAsia" w:hAnsiTheme="majorEastAsia" w:eastAsiaTheme="majorEastAsia" w:cstheme="majorEastAsia"/>
          <w:b/>
          <w:bCs w:val="0"/>
          <w:color w:val="auto"/>
          <w:sz w:val="32"/>
          <w:szCs w:val="32"/>
          <w:lang w:val="en-US" w:eastAsia="zh-CN"/>
        </w:rPr>
      </w:pPr>
      <w:r>
        <w:rPr>
          <w:rFonts w:hint="eastAsia" w:asciiTheme="majorEastAsia" w:hAnsiTheme="majorEastAsia" w:eastAsiaTheme="majorEastAsia" w:cstheme="majorEastAsia"/>
          <w:b/>
          <w:bCs w:val="0"/>
          <w:color w:val="auto"/>
          <w:sz w:val="32"/>
          <w:szCs w:val="32"/>
          <w:lang w:val="en-US" w:eastAsia="zh-CN"/>
        </w:rPr>
        <w:t>（二）运行经费项目</w:t>
      </w:r>
    </w:p>
    <w:p w14:paraId="62AB77D1">
      <w:pPr>
        <w:numPr>
          <w:ilvl w:val="0"/>
          <w:numId w:val="2"/>
        </w:numPr>
        <w:spacing w:before="100" w:beforeLines="0" w:after="100" w:afterLines="0"/>
        <w:jc w:val="left"/>
        <w:rPr>
          <w:rFonts w:hint="eastAsia" w:asciiTheme="majorEastAsia" w:hAnsiTheme="majorEastAsia" w:eastAsiaTheme="majorEastAsia" w:cstheme="majorEastAsia"/>
          <w:b/>
          <w:bCs w:val="0"/>
          <w:color w:val="auto"/>
          <w:sz w:val="32"/>
          <w:szCs w:val="32"/>
          <w:lang w:val="en-US" w:eastAsia="zh-CN"/>
        </w:rPr>
      </w:pPr>
      <w:r>
        <w:rPr>
          <w:rFonts w:hint="eastAsia" w:asciiTheme="majorEastAsia" w:hAnsiTheme="majorEastAsia" w:eastAsiaTheme="majorEastAsia" w:cstheme="majorEastAsia"/>
          <w:b/>
          <w:bCs w:val="0"/>
          <w:color w:val="auto"/>
          <w:sz w:val="32"/>
          <w:szCs w:val="32"/>
          <w:lang w:val="en-US" w:eastAsia="zh-CN"/>
        </w:rPr>
        <w:t>运行经费自评表</w:t>
      </w:r>
    </w:p>
    <w:p w14:paraId="3FC2034D">
      <w:pPr>
        <w:numPr>
          <w:ilvl w:val="0"/>
          <w:numId w:val="0"/>
        </w:numPr>
        <w:spacing w:before="100" w:beforeLines="0" w:after="100" w:afterLines="0"/>
        <w:jc w:val="left"/>
        <w:rPr>
          <w:rFonts w:hint="default" w:ascii="仿宋_GB2312" w:hAnsi="仿宋_GB2312" w:eastAsia="仿宋_GB2312" w:cs="仿宋_GB2312"/>
          <w:bCs/>
          <w:sz w:val="32"/>
          <w:szCs w:val="32"/>
          <w:lang w:val="en-US" w:eastAsia="zh-CN"/>
        </w:rPr>
      </w:pPr>
      <w:bookmarkStart w:id="0" w:name="_GoBack"/>
      <w:r>
        <w:rPr>
          <w:rFonts w:hint="default" w:ascii="仿宋_GB2312" w:hAnsi="仿宋_GB2312" w:eastAsia="仿宋_GB2312" w:cs="仿宋_GB2312"/>
          <w:bCs/>
          <w:sz w:val="32"/>
          <w:szCs w:val="32"/>
          <w:lang w:val="en-US" w:eastAsia="zh-CN"/>
        </w:rPr>
        <w:object>
          <v:shape id="_x0000_i1026" o:spt="75" alt="" type="#_x0000_t75" style="height:605.3pt;width:441.25pt;" o:ole="t" filled="f" o:preferrelative="t" stroked="f" coordsize="21600,21600">
            <v:path/>
            <v:fill on="f" focussize="0,0"/>
            <v:stroke on="f"/>
            <v:imagedata r:id="rId7" o:title=""/>
            <o:lock v:ext="edit" aspectratio="t"/>
            <w10:wrap type="none"/>
            <w10:anchorlock/>
          </v:shape>
          <o:OLEObject Type="Embed" ProgID="Excel.Sheet.12" ShapeID="_x0000_i1026" DrawAspect="Content" ObjectID="_1468075726" r:id="rId6">
            <o:LockedField>false</o:LockedField>
          </o:OLEObject>
        </w:object>
      </w:r>
      <w:bookmarkEnd w:id="0"/>
    </w:p>
    <w:p w14:paraId="122EDDD4">
      <w:pPr>
        <w:numPr>
          <w:ilvl w:val="0"/>
          <w:numId w:val="2"/>
        </w:numPr>
        <w:spacing w:line="560" w:lineRule="exact"/>
        <w:ind w:left="0" w:leftChars="0" w:firstLine="0" w:firstLineChars="0"/>
        <w:outlineLvl w:val="0"/>
        <w:rPr>
          <w:rFonts w:hint="eastAsia" w:asciiTheme="majorEastAsia" w:hAnsiTheme="majorEastAsia" w:eastAsiaTheme="majorEastAsia" w:cstheme="majorEastAsia"/>
          <w:b/>
          <w:bCs/>
          <w:color w:val="auto"/>
          <w:kern w:val="0"/>
          <w:sz w:val="32"/>
          <w:szCs w:val="32"/>
          <w:highlight w:val="none"/>
          <w:lang w:val="en-US"/>
        </w:rPr>
      </w:pPr>
      <w:r>
        <w:rPr>
          <w:rFonts w:hint="eastAsia" w:asciiTheme="majorEastAsia" w:hAnsiTheme="majorEastAsia" w:eastAsiaTheme="majorEastAsia" w:cstheme="majorEastAsia"/>
          <w:b/>
          <w:bCs/>
          <w:color w:val="auto"/>
          <w:kern w:val="0"/>
          <w:sz w:val="32"/>
          <w:szCs w:val="32"/>
          <w:highlight w:val="none"/>
          <w:lang w:val="en-US" w:eastAsia="zh-CN"/>
        </w:rPr>
        <w:t>运行经费</w:t>
      </w:r>
      <w:r>
        <w:rPr>
          <w:rFonts w:hint="eastAsia" w:asciiTheme="majorEastAsia" w:hAnsiTheme="majorEastAsia" w:eastAsiaTheme="majorEastAsia" w:cstheme="majorEastAsia"/>
          <w:b/>
          <w:bCs/>
          <w:color w:val="auto"/>
          <w:kern w:val="0"/>
          <w:sz w:val="32"/>
          <w:szCs w:val="32"/>
          <w:highlight w:val="none"/>
          <w:lang w:val="en-US"/>
        </w:rPr>
        <w:t>项目绩效自评情况</w:t>
      </w:r>
    </w:p>
    <w:p w14:paraId="46128BBD">
      <w:pPr>
        <w:numPr>
          <w:ilvl w:val="0"/>
          <w:numId w:val="0"/>
        </w:numPr>
        <w:spacing w:line="560" w:lineRule="exact"/>
        <w:ind w:leftChars="0" w:firstLine="640" w:firstLineChars="200"/>
        <w:outlineLvl w:val="0"/>
        <w:rPr>
          <w:rFonts w:hint="eastAsia" w:ascii="仿宋" w:hAnsi="仿宋" w:eastAsia="仿宋" w:cs="仿宋"/>
          <w:color w:val="auto"/>
          <w:sz w:val="32"/>
          <w:szCs w:val="32"/>
          <w:highlight w:val="none"/>
        </w:rPr>
      </w:pPr>
      <w:r>
        <w:rPr>
          <w:rFonts w:hint="eastAsia" w:ascii="仿宋" w:hAnsi="仿宋" w:eastAsia="仿宋" w:cs="仿宋"/>
          <w:color w:val="auto"/>
          <w:kern w:val="0"/>
          <w:sz w:val="32"/>
          <w:szCs w:val="32"/>
          <w:highlight w:val="none"/>
          <w:lang w:val="en-US"/>
        </w:rPr>
        <w:t>根据年初设定的绩效目标,项目绩效自评得分为</w:t>
      </w:r>
      <w:r>
        <w:rPr>
          <w:rFonts w:hint="eastAsia" w:ascii="仿宋" w:hAnsi="仿宋" w:eastAsia="仿宋" w:cs="仿宋"/>
          <w:color w:val="auto"/>
          <w:kern w:val="0"/>
          <w:sz w:val="32"/>
          <w:szCs w:val="32"/>
          <w:highlight w:val="none"/>
          <w:lang w:val="en-US" w:eastAsia="zh-CN"/>
        </w:rPr>
        <w:t>97</w:t>
      </w:r>
      <w:r>
        <w:rPr>
          <w:rFonts w:hint="eastAsia" w:ascii="仿宋" w:hAnsi="仿宋" w:eastAsia="仿宋" w:cs="仿宋"/>
          <w:color w:val="auto"/>
          <w:kern w:val="0"/>
          <w:sz w:val="32"/>
          <w:szCs w:val="32"/>
          <w:highlight w:val="none"/>
          <w:lang w:val="en-US"/>
        </w:rPr>
        <w:t>分。项目全年预算数为</w:t>
      </w:r>
      <w:r>
        <w:rPr>
          <w:rFonts w:hint="eastAsia" w:ascii="仿宋" w:hAnsi="仿宋" w:eastAsia="仿宋" w:cs="仿宋"/>
          <w:color w:val="auto"/>
          <w:kern w:val="0"/>
          <w:sz w:val="32"/>
          <w:szCs w:val="32"/>
          <w:highlight w:val="none"/>
          <w:lang w:val="en-US" w:eastAsia="zh-CN"/>
        </w:rPr>
        <w:t>450</w:t>
      </w:r>
      <w:r>
        <w:rPr>
          <w:rFonts w:hint="eastAsia" w:ascii="仿宋" w:hAnsi="仿宋" w:eastAsia="仿宋" w:cs="仿宋"/>
          <w:color w:val="auto"/>
          <w:kern w:val="0"/>
          <w:sz w:val="32"/>
          <w:szCs w:val="32"/>
          <w:highlight w:val="none"/>
          <w:lang w:val="en-US"/>
        </w:rPr>
        <w:t>万元,执行数为</w:t>
      </w:r>
      <w:r>
        <w:rPr>
          <w:rFonts w:hint="eastAsia" w:ascii="仿宋" w:hAnsi="仿宋" w:eastAsia="仿宋" w:cs="仿宋"/>
          <w:color w:val="auto"/>
          <w:kern w:val="0"/>
          <w:sz w:val="32"/>
          <w:szCs w:val="32"/>
          <w:highlight w:val="none"/>
          <w:lang w:val="en-US" w:eastAsia="zh-CN"/>
        </w:rPr>
        <w:t>480</w:t>
      </w:r>
      <w:r>
        <w:rPr>
          <w:rFonts w:hint="eastAsia" w:ascii="仿宋" w:hAnsi="仿宋" w:eastAsia="仿宋" w:cs="仿宋"/>
          <w:color w:val="auto"/>
          <w:kern w:val="0"/>
          <w:sz w:val="32"/>
          <w:szCs w:val="32"/>
          <w:highlight w:val="none"/>
          <w:lang w:val="en-US"/>
        </w:rPr>
        <w:t>万元,完成预算的</w:t>
      </w:r>
      <w:r>
        <w:rPr>
          <w:rFonts w:hint="eastAsia" w:ascii="仿宋" w:hAnsi="仿宋" w:eastAsia="仿宋" w:cs="仿宋"/>
          <w:color w:val="auto"/>
          <w:kern w:val="0"/>
          <w:sz w:val="32"/>
          <w:szCs w:val="32"/>
          <w:highlight w:val="none"/>
          <w:lang w:val="en-US" w:eastAsia="zh-CN"/>
        </w:rPr>
        <w:t>106</w:t>
      </w:r>
      <w:r>
        <w:rPr>
          <w:rFonts w:hint="eastAsia" w:ascii="仿宋" w:hAnsi="仿宋" w:eastAsia="仿宋" w:cs="仿宋"/>
          <w:color w:val="auto"/>
          <w:kern w:val="0"/>
          <w:sz w:val="32"/>
          <w:szCs w:val="32"/>
          <w:highlight w:val="none"/>
          <w:lang w:val="en-US"/>
        </w:rPr>
        <w:t>%。项目绩效目标完成情况：</w:t>
      </w:r>
      <w:r>
        <w:rPr>
          <w:rFonts w:hint="eastAsia" w:ascii="仿宋" w:hAnsi="仿宋" w:eastAsia="仿宋" w:cs="仿宋"/>
          <w:color w:val="auto"/>
          <w:sz w:val="32"/>
          <w:szCs w:val="32"/>
          <w:highlight w:val="none"/>
        </w:rPr>
        <w:t>一是数量指标。信息系统检查、交易活动次数，每月对平台设备、机房、电路等硬件进行一次巡检，每周对电子交易系统、软件操作系统进行一次巡检。202</w:t>
      </w:r>
      <w:r>
        <w:rPr>
          <w:rFonts w:hint="eastAsia" w:ascii="仿宋" w:hAnsi="仿宋" w:eastAsia="仿宋" w:cs="仿宋"/>
          <w:color w:val="auto"/>
          <w:sz w:val="32"/>
          <w:szCs w:val="32"/>
          <w:highlight w:val="none"/>
          <w:lang w:val="en-US" w:eastAsia="zh-CN"/>
        </w:rPr>
        <w:t>2</w:t>
      </w:r>
      <w:r>
        <w:rPr>
          <w:rFonts w:hint="eastAsia" w:ascii="仿宋" w:hAnsi="仿宋" w:eastAsia="仿宋" w:cs="仿宋"/>
          <w:color w:val="auto"/>
          <w:sz w:val="32"/>
          <w:szCs w:val="32"/>
          <w:highlight w:val="none"/>
        </w:rPr>
        <w:t>年全年进场交易项目数量15</w:t>
      </w:r>
      <w:r>
        <w:rPr>
          <w:rFonts w:hint="eastAsia" w:ascii="仿宋" w:hAnsi="仿宋" w:eastAsia="仿宋" w:cs="仿宋"/>
          <w:color w:val="auto"/>
          <w:sz w:val="32"/>
          <w:szCs w:val="32"/>
          <w:highlight w:val="none"/>
          <w:lang w:val="en-US" w:eastAsia="zh-CN"/>
        </w:rPr>
        <w:t>00</w:t>
      </w:r>
      <w:r>
        <w:rPr>
          <w:rFonts w:hint="eastAsia" w:ascii="仿宋" w:hAnsi="仿宋" w:eastAsia="仿宋" w:cs="仿宋"/>
          <w:color w:val="auto"/>
          <w:sz w:val="32"/>
          <w:szCs w:val="32"/>
          <w:highlight w:val="none"/>
        </w:rPr>
        <w:t>项。二是质量指标。交易平台服务功能运转，任务一：每月检查信息系统及时缴纳办公场所物业费、机房水电费、办公耗材、人工费用约5万元，保证平台正常运转。任务二：保证每月完成拨付自收自支人员工资约18.25万元任务。任务三：保证每次交易活动的顺利进行，提供各种保障服务。三是维护交易系统正常运行，保障交易平台硬件改造、信息化建设、人员经费、公用经费、日常办公经费（电话网络服务费，办公消耗品、水电、暖及物业费）、自收自支人员工资等各项费用，确保交易系统正常运行。四是及时完成各项交易活动，严格按照《招投标法》《实施条例》等法规，按照规定时间完成各项的工作开展，确保电子交易系统正常运转，确保公共资源交易活动的正常开展，开评标活动完成率100%。项目服务对象的满意度达到100%。五是完成帮扶村所在乡镇党委、政府安排的年度帮扶任务；完成市公共资源交易中心安排的年度重点工作任务。</w:t>
      </w:r>
    </w:p>
    <w:p w14:paraId="1EB8F18D">
      <w:pPr>
        <w:spacing w:line="560" w:lineRule="exact"/>
        <w:ind w:firstLine="643" w:firstLineChars="200"/>
        <w:outlineLvl w:val="0"/>
        <w:rPr>
          <w:rFonts w:hint="eastAsia" w:ascii="仿宋" w:hAnsi="仿宋" w:eastAsia="仿宋" w:cs="仿宋"/>
          <w:color w:val="auto"/>
          <w:sz w:val="32"/>
          <w:szCs w:val="32"/>
          <w:highlight w:val="none"/>
          <w:lang w:eastAsia="zh-CN"/>
        </w:rPr>
      </w:pPr>
      <w:r>
        <w:rPr>
          <w:rFonts w:hint="eastAsia" w:asciiTheme="majorEastAsia" w:hAnsiTheme="majorEastAsia" w:eastAsiaTheme="majorEastAsia" w:cstheme="majorEastAsia"/>
          <w:b/>
          <w:bCs/>
          <w:color w:val="auto"/>
          <w:sz w:val="32"/>
          <w:szCs w:val="32"/>
          <w:highlight w:val="none"/>
          <w:lang w:val="en-US" w:eastAsia="zh-CN"/>
        </w:rPr>
        <w:t>3、</w:t>
      </w:r>
      <w:r>
        <w:rPr>
          <w:rFonts w:hint="eastAsia" w:asciiTheme="majorEastAsia" w:hAnsiTheme="majorEastAsia" w:eastAsiaTheme="majorEastAsia" w:cstheme="majorEastAsia"/>
          <w:b/>
          <w:bCs/>
          <w:color w:val="auto"/>
          <w:sz w:val="32"/>
          <w:szCs w:val="32"/>
          <w:highlight w:val="none"/>
          <w:lang w:val="en-US"/>
        </w:rPr>
        <w:t>发现的主要问题原因</w:t>
      </w:r>
      <w:r>
        <w:rPr>
          <w:rFonts w:hint="eastAsia" w:asciiTheme="majorEastAsia" w:hAnsiTheme="majorEastAsia" w:eastAsiaTheme="majorEastAsia" w:cstheme="majorEastAsia"/>
          <w:b/>
          <w:bCs/>
          <w:color w:val="auto"/>
          <w:sz w:val="32"/>
          <w:szCs w:val="32"/>
          <w:highlight w:val="none"/>
          <w:lang w:val="en-US" w:eastAsia="zh-CN"/>
        </w:rPr>
        <w:t>及</w:t>
      </w:r>
      <w:r>
        <w:rPr>
          <w:rFonts w:hint="eastAsia" w:asciiTheme="majorEastAsia" w:hAnsiTheme="majorEastAsia" w:eastAsiaTheme="majorEastAsia" w:cstheme="majorEastAsia"/>
          <w:b/>
          <w:bCs/>
          <w:color w:val="auto"/>
          <w:sz w:val="32"/>
          <w:szCs w:val="32"/>
          <w:highlight w:val="none"/>
        </w:rPr>
        <w:t>下一步</w:t>
      </w:r>
      <w:r>
        <w:rPr>
          <w:rFonts w:hint="eastAsia" w:asciiTheme="majorEastAsia" w:hAnsiTheme="majorEastAsia" w:eastAsiaTheme="majorEastAsia" w:cstheme="majorEastAsia"/>
          <w:b/>
          <w:bCs/>
          <w:color w:val="auto"/>
          <w:sz w:val="32"/>
          <w:szCs w:val="32"/>
          <w:highlight w:val="none"/>
          <w:lang w:val="en-US"/>
        </w:rPr>
        <w:t>改进措施：</w:t>
      </w:r>
      <w:r>
        <w:rPr>
          <w:rFonts w:hint="eastAsia" w:ascii="仿宋" w:hAnsi="仿宋" w:eastAsia="仿宋" w:cs="仿宋"/>
          <w:color w:val="auto"/>
          <w:sz w:val="32"/>
          <w:szCs w:val="32"/>
          <w:highlight w:val="none"/>
        </w:rPr>
        <w:t>是</w:t>
      </w:r>
      <w:r>
        <w:rPr>
          <w:rFonts w:hint="eastAsia" w:ascii="仿宋" w:hAnsi="仿宋" w:eastAsia="仿宋" w:cs="仿宋"/>
          <w:color w:val="auto"/>
          <w:sz w:val="32"/>
          <w:szCs w:val="32"/>
          <w:highlight w:val="none"/>
          <w:lang w:eastAsia="zh-CN"/>
        </w:rPr>
        <w:t>绩效目标有时存在动态性，指标的制定和下一年绩效目标的执行受当地经济环境影响，存在一定差异性。</w:t>
      </w:r>
    </w:p>
    <w:p w14:paraId="45F9E87B">
      <w:pPr>
        <w:spacing w:line="560" w:lineRule="exact"/>
        <w:ind w:firstLine="640" w:firstLineChars="200"/>
        <w:outlineLvl w:val="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下一年申报绩效资金时科学合理的编制项目绩效目标，进一步做到绩效目标明确、细化、亮化。</w:t>
      </w:r>
    </w:p>
    <w:p w14:paraId="357DCA8A">
      <w:pPr>
        <w:numPr>
          <w:ilvl w:val="0"/>
          <w:numId w:val="0"/>
        </w:numPr>
        <w:spacing w:line="560" w:lineRule="exact"/>
        <w:outlineLvl w:val="0"/>
        <w:rPr>
          <w:rFonts w:hint="eastAsia" w:asciiTheme="majorEastAsia" w:hAnsiTheme="majorEastAsia" w:eastAsiaTheme="majorEastAsia" w:cstheme="majorEastAsia"/>
          <w:b/>
          <w:bCs/>
          <w:color w:val="auto"/>
          <w:sz w:val="32"/>
          <w:szCs w:val="32"/>
          <w:highlight w:val="none"/>
          <w:lang w:val="en-US" w:eastAsia="zh-CN"/>
        </w:rPr>
      </w:pPr>
      <w:r>
        <w:rPr>
          <w:rFonts w:hint="eastAsia" w:asciiTheme="majorEastAsia" w:hAnsiTheme="majorEastAsia" w:eastAsiaTheme="majorEastAsia" w:cstheme="majorEastAsia"/>
          <w:b/>
          <w:bCs/>
          <w:color w:val="auto"/>
          <w:sz w:val="32"/>
          <w:szCs w:val="32"/>
          <w:highlight w:val="none"/>
          <w:lang w:val="en-US" w:eastAsia="zh-CN"/>
        </w:rPr>
        <w:t>（三）部门重点绩效评价结果</w:t>
      </w:r>
    </w:p>
    <w:p w14:paraId="08DF1807">
      <w:pPr>
        <w:numPr>
          <w:ilvl w:val="0"/>
          <w:numId w:val="0"/>
        </w:numPr>
        <w:spacing w:line="560" w:lineRule="exact"/>
        <w:ind w:firstLine="640" w:firstLineChars="200"/>
        <w:outlineLvl w:val="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我单位对运行经费进行了重点自评</w:t>
      </w:r>
    </w:p>
    <w:p w14:paraId="68033F2D">
      <w:pPr>
        <w:pStyle w:val="3"/>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Theme="majorEastAsia" w:hAnsiTheme="majorEastAsia" w:eastAsiaTheme="majorEastAsia" w:cstheme="majorEastAsia"/>
          <w:b/>
          <w:bCs/>
          <w:color w:val="auto"/>
          <w:w w:val="100"/>
          <w:sz w:val="32"/>
          <w:szCs w:val="32"/>
          <w:highlight w:val="none"/>
          <w:lang w:val="zh-CN" w:eastAsia="zh-CN" w:bidi="zh-CN"/>
        </w:rPr>
      </w:pPr>
      <w:r>
        <w:rPr>
          <w:rFonts w:hint="eastAsia" w:asciiTheme="majorEastAsia" w:hAnsiTheme="majorEastAsia" w:eastAsiaTheme="majorEastAsia" w:cstheme="majorEastAsia"/>
          <w:b/>
          <w:bCs/>
          <w:color w:val="auto"/>
          <w:sz w:val="32"/>
          <w:szCs w:val="32"/>
          <w:highlight w:val="none"/>
          <w:lang w:val="en-US" w:eastAsia="zh-CN"/>
        </w:rPr>
        <w:t>一、</w:t>
      </w:r>
      <w:r>
        <w:rPr>
          <w:rFonts w:hint="eastAsia" w:asciiTheme="majorEastAsia" w:hAnsiTheme="majorEastAsia" w:eastAsiaTheme="majorEastAsia" w:cstheme="majorEastAsia"/>
          <w:b/>
          <w:bCs/>
          <w:color w:val="auto"/>
          <w:w w:val="100"/>
          <w:sz w:val="32"/>
          <w:szCs w:val="32"/>
          <w:highlight w:val="none"/>
          <w:lang w:val="zh-CN" w:eastAsia="zh-CN" w:bidi="zh-CN"/>
        </w:rPr>
        <w:t>项目基本情况</w:t>
      </w:r>
    </w:p>
    <w:p w14:paraId="17DCD909">
      <w:pPr>
        <w:spacing w:line="360" w:lineRule="auto"/>
        <w:ind w:firstLine="640" w:firstLineChars="200"/>
        <w:rPr>
          <w:rFonts w:hint="eastAsia" w:ascii="仿宋" w:hAnsi="仿宋" w:eastAsia="仿宋" w:cs="仿宋"/>
          <w:bCs/>
          <w:color w:val="auto"/>
          <w:sz w:val="32"/>
          <w:szCs w:val="32"/>
          <w:highlight w:val="none"/>
        </w:rPr>
      </w:pPr>
      <w:r>
        <w:rPr>
          <w:rFonts w:hint="eastAsia" w:ascii="仿宋" w:hAnsi="仿宋" w:eastAsia="仿宋" w:cs="仿宋"/>
          <w:b w:val="0"/>
          <w:bCs w:val="0"/>
          <w:color w:val="auto"/>
          <w:w w:val="100"/>
          <w:sz w:val="32"/>
          <w:szCs w:val="32"/>
          <w:highlight w:val="none"/>
          <w:lang w:val="zh-CN" w:eastAsia="zh-CN" w:bidi="zh-CN"/>
        </w:rPr>
        <w:t>（一）项目立项背景。</w:t>
      </w:r>
      <w:r>
        <w:rPr>
          <w:rFonts w:hint="eastAsia" w:ascii="仿宋" w:hAnsi="仿宋" w:eastAsia="仿宋" w:cs="仿宋"/>
          <w:bCs/>
          <w:color w:val="auto"/>
          <w:sz w:val="32"/>
          <w:szCs w:val="32"/>
          <w:highlight w:val="none"/>
        </w:rPr>
        <w:t>定西市公共资源交易中心于2013年11月28日正式挂牌成立，为市政府直属正县级事业单位，参照公务员法管理。主要职责是：一是贯彻实施公共资源交易活动相关法律、法规和政策，负责市级公共资源交易平台及电子网络系统建设、运行、管理，为进入市级公共资源交易市场的各类公共资源交易活动提供场所、设施和服务。二是依据公共资源交易项目目录，承担国家和省上指定交易项目，全市工程建设项目、政府采购、土地使用权和矿业权出让、国有产权交易、公立医疗卫生机构医疗器械采购等交易事项的进场交易服务和集中采购工作。三是负责交易活动现场监管；制定各类进场交易活动的交易流程、操作规程、服务标准和现场管理制度，依法依规组织进场交易活动，维护交易现场秩序。四是负责进场交易项目的保证金管理工作；会同有关部门建设和管理评标专家库；负责现场评标专家的抽取；依规对进场的中介机构进行日常管理，认定中介机构不良行为。五是负责收集、存储和发布各类公共资源交易信息，为公共资源交易各方主体提供信息咨询服务；对参与主体信息进行计算机数据库管理；统计分析全市公共资源交易活动情况。六是负责进场项目交易条件、交易方式、交易组织形式、市场主体资格、评标委员会组成和招标公告、招标文件等相关资料的合法性复核；核验进场交易项目资料的完整性，整理保存交易活动相关资料。七是负责对交易活动全程实施电子监控和录音录像，见证场内各类公共资源交易活动，记录、制止和纠正交易现场各方不良行为；建立进场交易主体交易信用和纪律档案，发布交易主体不良信息。八是为行业监管、行政监察提供平台；依法规范各方交易主体市场行为；受理交易现场的投诉举报，并配合有关部门调查处理。</w:t>
      </w:r>
      <w:r>
        <w:rPr>
          <w:rFonts w:hint="eastAsia" w:ascii="仿宋" w:hAnsi="仿宋" w:eastAsia="仿宋" w:cs="仿宋"/>
          <w:bCs/>
          <w:color w:val="auto"/>
          <w:kern w:val="0"/>
          <w:sz w:val="32"/>
          <w:szCs w:val="32"/>
          <w:highlight w:val="none"/>
        </w:rPr>
        <w:t>九是</w:t>
      </w:r>
      <w:r>
        <w:rPr>
          <w:rFonts w:hint="eastAsia" w:ascii="仿宋" w:hAnsi="仿宋" w:eastAsia="仿宋" w:cs="仿宋"/>
          <w:bCs/>
          <w:color w:val="auto"/>
          <w:sz w:val="32"/>
          <w:szCs w:val="32"/>
          <w:highlight w:val="none"/>
        </w:rPr>
        <w:t>完成市政府和市公共资源交易管理委员会交办的其他事项。</w:t>
      </w:r>
    </w:p>
    <w:p w14:paraId="7FE88A18">
      <w:pPr>
        <w:spacing w:line="360" w:lineRule="auto"/>
        <w:ind w:firstLine="640" w:firstLineChars="200"/>
        <w:rPr>
          <w:rFonts w:hint="eastAsia" w:ascii="仿宋" w:hAnsi="仿宋" w:eastAsia="仿宋" w:cs="仿宋"/>
          <w:color w:val="auto"/>
          <w:sz w:val="32"/>
          <w:szCs w:val="32"/>
          <w:highlight w:val="none"/>
        </w:rPr>
      </w:pPr>
      <w:r>
        <w:rPr>
          <w:rFonts w:hint="eastAsia" w:ascii="仿宋" w:hAnsi="仿宋" w:eastAsia="仿宋" w:cs="仿宋"/>
          <w:b w:val="0"/>
          <w:bCs w:val="0"/>
          <w:color w:val="auto"/>
          <w:w w:val="100"/>
          <w:sz w:val="32"/>
          <w:szCs w:val="32"/>
          <w:highlight w:val="none"/>
          <w:lang w:val="zh-CN" w:eastAsia="zh-CN" w:bidi="zh-CN"/>
        </w:rPr>
        <w:t>（二）项目预算安排及使用情况。</w:t>
      </w:r>
      <w:r>
        <w:rPr>
          <w:rFonts w:hint="eastAsia" w:ascii="仿宋" w:hAnsi="仿宋" w:eastAsia="仿宋" w:cs="仿宋"/>
          <w:color w:val="auto"/>
          <w:sz w:val="32"/>
          <w:szCs w:val="32"/>
          <w:highlight w:val="none"/>
        </w:rPr>
        <w:t>202</w:t>
      </w:r>
      <w:r>
        <w:rPr>
          <w:rFonts w:hint="eastAsia" w:ascii="仿宋" w:hAnsi="仿宋" w:eastAsia="仿宋" w:cs="仿宋"/>
          <w:color w:val="auto"/>
          <w:sz w:val="32"/>
          <w:szCs w:val="32"/>
          <w:highlight w:val="none"/>
          <w:lang w:val="en-US" w:eastAsia="zh-CN"/>
        </w:rPr>
        <w:t>2</w:t>
      </w:r>
      <w:r>
        <w:rPr>
          <w:rFonts w:hint="eastAsia" w:ascii="仿宋" w:hAnsi="仿宋" w:eastAsia="仿宋" w:cs="仿宋"/>
          <w:color w:val="auto"/>
          <w:sz w:val="32"/>
          <w:szCs w:val="32"/>
          <w:highlight w:val="none"/>
        </w:rPr>
        <w:t>年项目资金预算申请450万元，</w:t>
      </w:r>
      <w:r>
        <w:rPr>
          <w:rFonts w:hint="eastAsia" w:ascii="仿宋" w:hAnsi="仿宋" w:eastAsia="仿宋" w:cs="仿宋"/>
          <w:color w:val="auto"/>
          <w:sz w:val="32"/>
          <w:szCs w:val="32"/>
          <w:highlight w:val="none"/>
          <w:lang w:eastAsia="zh-CN"/>
        </w:rPr>
        <w:t>具体使用情况：</w:t>
      </w:r>
      <w:r>
        <w:rPr>
          <w:rFonts w:hint="eastAsia" w:ascii="仿宋" w:hAnsi="仿宋" w:eastAsia="仿宋" w:cs="仿宋"/>
          <w:color w:val="auto"/>
          <w:sz w:val="32"/>
          <w:szCs w:val="32"/>
          <w:highlight w:val="none"/>
        </w:rPr>
        <w:t>1、保障定西市公共资源交易中心交易平台硬件改造、正常运转以及信息化建设的115万元。2、工会及人员经费4万元。3、日常办公经费（电话及网络服务费，办公消耗品、水电、暖及物业费）46万元 。4、资料费印刷制品10万元。5、自收自支人员工资265万元。6、集采中心专家评审费10万元。</w:t>
      </w:r>
    </w:p>
    <w:p w14:paraId="1FC269DC">
      <w:pPr>
        <w:spacing w:line="560" w:lineRule="exact"/>
        <w:ind w:firstLine="640" w:firstLineChars="200"/>
        <w:rPr>
          <w:rFonts w:hint="eastAsia" w:ascii="仿宋" w:hAnsi="仿宋" w:eastAsia="仿宋" w:cs="仿宋"/>
          <w:bCs/>
          <w:color w:val="auto"/>
          <w:sz w:val="32"/>
          <w:szCs w:val="32"/>
          <w:highlight w:val="none"/>
          <w:lang w:val="en"/>
        </w:rPr>
      </w:pPr>
      <w:r>
        <w:rPr>
          <w:rFonts w:hint="eastAsia" w:ascii="仿宋" w:hAnsi="仿宋" w:eastAsia="仿宋" w:cs="仿宋"/>
          <w:b w:val="0"/>
          <w:bCs w:val="0"/>
          <w:color w:val="auto"/>
          <w:w w:val="100"/>
          <w:sz w:val="32"/>
          <w:szCs w:val="32"/>
          <w:highlight w:val="none"/>
          <w:lang w:val="zh-CN" w:eastAsia="zh-CN" w:bidi="zh-CN"/>
        </w:rPr>
        <w:t>（三）项目计划内容及实施情况。</w:t>
      </w:r>
      <w:r>
        <w:rPr>
          <w:rFonts w:hint="eastAsia" w:ascii="仿宋" w:hAnsi="仿宋" w:eastAsia="仿宋" w:cs="仿宋"/>
          <w:bCs/>
          <w:color w:val="auto"/>
          <w:sz w:val="32"/>
          <w:szCs w:val="32"/>
          <w:highlight w:val="none"/>
        </w:rPr>
        <w:t>202</w:t>
      </w:r>
      <w:r>
        <w:rPr>
          <w:rFonts w:hint="eastAsia" w:ascii="仿宋" w:hAnsi="仿宋" w:eastAsia="仿宋" w:cs="仿宋"/>
          <w:bCs/>
          <w:color w:val="auto"/>
          <w:sz w:val="32"/>
          <w:szCs w:val="32"/>
          <w:highlight w:val="none"/>
          <w:lang w:val="en-US" w:eastAsia="zh-CN"/>
        </w:rPr>
        <w:t>2</w:t>
      </w:r>
      <w:r>
        <w:rPr>
          <w:rFonts w:hint="eastAsia" w:ascii="仿宋" w:hAnsi="仿宋" w:eastAsia="仿宋" w:cs="仿宋"/>
          <w:bCs/>
          <w:color w:val="auto"/>
          <w:sz w:val="32"/>
          <w:szCs w:val="32"/>
          <w:highlight w:val="none"/>
        </w:rPr>
        <w:t>年市公共资源交易中心整体按照原预算和计划实施，项目管理规范有序，达到了预期的绩效目标。</w:t>
      </w:r>
    </w:p>
    <w:p w14:paraId="48356768">
      <w:pPr>
        <w:keepNext w:val="0"/>
        <w:keepLines w:val="0"/>
        <w:pageBreakBefore w:val="0"/>
        <w:widowControl w:val="0"/>
        <w:kinsoku/>
        <w:wordWrap/>
        <w:overflowPunct/>
        <w:topLinePunct w:val="0"/>
        <w:autoSpaceDE w:val="0"/>
        <w:autoSpaceDN w:val="0"/>
        <w:bidi w:val="0"/>
        <w:adjustRightInd/>
        <w:snapToGrid/>
        <w:spacing w:before="0" w:after="0" w:line="560" w:lineRule="exact"/>
        <w:ind w:right="0" w:firstLine="640" w:firstLineChars="200"/>
        <w:jc w:val="left"/>
        <w:textAlignment w:val="auto"/>
        <w:rPr>
          <w:rFonts w:hint="eastAsia" w:ascii="仿宋" w:hAnsi="仿宋" w:eastAsia="仿宋" w:cs="仿宋"/>
          <w:b w:val="0"/>
          <w:bCs w:val="0"/>
          <w:color w:val="auto"/>
          <w:w w:val="100"/>
          <w:sz w:val="32"/>
          <w:szCs w:val="32"/>
          <w:highlight w:val="none"/>
          <w:lang w:val="zh-CN" w:eastAsia="zh-CN" w:bidi="zh-CN"/>
        </w:rPr>
      </w:pPr>
      <w:r>
        <w:rPr>
          <w:rFonts w:hint="eastAsia" w:ascii="仿宋" w:hAnsi="仿宋" w:eastAsia="仿宋" w:cs="仿宋"/>
          <w:b w:val="0"/>
          <w:bCs w:val="0"/>
          <w:color w:val="auto"/>
          <w:w w:val="100"/>
          <w:sz w:val="32"/>
          <w:szCs w:val="32"/>
          <w:highlight w:val="none"/>
          <w:lang w:val="zh-CN" w:eastAsia="zh-CN" w:bidi="zh-CN"/>
        </w:rPr>
        <w:t>（四）项目组织管理</w:t>
      </w:r>
    </w:p>
    <w:p w14:paraId="5566B9AD">
      <w:pPr>
        <w:shd w:val="clear" w:color="auto" w:fill="FFFFFF"/>
        <w:spacing w:line="360" w:lineRule="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项目严格按照202</w:t>
      </w:r>
      <w:r>
        <w:rPr>
          <w:rFonts w:hint="eastAsia" w:ascii="仿宋" w:hAnsi="仿宋" w:eastAsia="仿宋" w:cs="仿宋"/>
          <w:color w:val="auto"/>
          <w:sz w:val="32"/>
          <w:szCs w:val="32"/>
          <w:highlight w:val="none"/>
          <w:lang w:val="en-US" w:eastAsia="zh-CN"/>
        </w:rPr>
        <w:t>2</w:t>
      </w:r>
      <w:r>
        <w:rPr>
          <w:rFonts w:hint="eastAsia" w:ascii="仿宋" w:hAnsi="仿宋" w:eastAsia="仿宋" w:cs="仿宋"/>
          <w:color w:val="auto"/>
          <w:sz w:val="32"/>
          <w:szCs w:val="32"/>
          <w:highlight w:val="none"/>
        </w:rPr>
        <w:t>年预算编制批复实施，结合我中心工作的现实需要，进行科学规划。项目实施过程中，严格按照对照单位内控制度，紧紧把握住财政资金收支两条线，对项目的事前、事中、事后进行监督，实现了项目管理与过程管理的有机结合，对相关档案资料进行收集、分类、整理、归档，档案资料完整、齐全、规范。</w:t>
      </w:r>
    </w:p>
    <w:p w14:paraId="19D03EF2">
      <w:pPr>
        <w:keepNext w:val="0"/>
        <w:keepLines w:val="0"/>
        <w:pageBreakBefore w:val="0"/>
        <w:widowControl w:val="0"/>
        <w:kinsoku/>
        <w:wordWrap/>
        <w:overflowPunct/>
        <w:topLinePunct w:val="0"/>
        <w:autoSpaceDE w:val="0"/>
        <w:autoSpaceDN w:val="0"/>
        <w:bidi w:val="0"/>
        <w:adjustRightInd/>
        <w:snapToGrid/>
        <w:spacing w:before="0" w:after="0" w:line="560" w:lineRule="exact"/>
        <w:ind w:right="0"/>
        <w:jc w:val="left"/>
        <w:textAlignment w:val="auto"/>
        <w:rPr>
          <w:rFonts w:hint="eastAsia" w:asciiTheme="majorEastAsia" w:hAnsiTheme="majorEastAsia" w:eastAsiaTheme="majorEastAsia" w:cstheme="majorEastAsia"/>
          <w:b/>
          <w:bCs/>
          <w:color w:val="auto"/>
          <w:w w:val="100"/>
          <w:sz w:val="32"/>
          <w:szCs w:val="32"/>
          <w:highlight w:val="none"/>
          <w:lang w:val="zh-CN" w:eastAsia="zh-CN" w:bidi="zh-CN"/>
        </w:rPr>
      </w:pPr>
      <w:r>
        <w:rPr>
          <w:rFonts w:hint="eastAsia" w:asciiTheme="majorEastAsia" w:hAnsiTheme="majorEastAsia" w:eastAsiaTheme="majorEastAsia" w:cstheme="majorEastAsia"/>
          <w:b/>
          <w:bCs/>
          <w:color w:val="auto"/>
          <w:w w:val="100"/>
          <w:sz w:val="32"/>
          <w:szCs w:val="32"/>
          <w:highlight w:val="none"/>
          <w:lang w:val="zh-CN" w:eastAsia="zh-CN" w:bidi="zh-CN"/>
        </w:rPr>
        <w:t>二、项目绩效目标</w:t>
      </w:r>
    </w:p>
    <w:p w14:paraId="30F0915A">
      <w:pPr>
        <w:shd w:val="clear" w:color="auto" w:fill="FFFFFF"/>
        <w:spacing w:line="360" w:lineRule="auto"/>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健全完善规范高效的公共资源交易平台，进一步完善全程电子化，提高公共资源交易平台规范化、标准化、智能化管理水平，维护平台稳定发展。</w:t>
      </w:r>
    </w:p>
    <w:p w14:paraId="508B3540">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560" w:lineRule="exact"/>
        <w:ind w:right="0" w:rightChars="0"/>
        <w:jc w:val="left"/>
        <w:textAlignment w:val="auto"/>
        <w:rPr>
          <w:rFonts w:hint="eastAsia" w:asciiTheme="majorEastAsia" w:hAnsiTheme="majorEastAsia" w:eastAsiaTheme="majorEastAsia" w:cstheme="majorEastAsia"/>
          <w:b/>
          <w:bCs/>
          <w:color w:val="auto"/>
          <w:w w:val="100"/>
          <w:sz w:val="32"/>
          <w:szCs w:val="32"/>
          <w:highlight w:val="none"/>
          <w:lang w:val="zh-CN" w:eastAsia="zh-CN" w:bidi="zh-CN"/>
        </w:rPr>
      </w:pPr>
      <w:r>
        <w:rPr>
          <w:rFonts w:hint="eastAsia" w:asciiTheme="majorEastAsia" w:hAnsiTheme="majorEastAsia" w:eastAsiaTheme="majorEastAsia" w:cstheme="majorEastAsia"/>
          <w:b/>
          <w:bCs/>
          <w:color w:val="auto"/>
          <w:w w:val="100"/>
          <w:sz w:val="32"/>
          <w:szCs w:val="32"/>
          <w:highlight w:val="none"/>
          <w:lang w:val="zh-CN" w:eastAsia="zh-CN" w:bidi="zh-CN"/>
        </w:rPr>
        <w:t>三、评价基本情况</w:t>
      </w:r>
    </w:p>
    <w:p w14:paraId="18828EC7">
      <w:pPr>
        <w:spacing w:line="560" w:lineRule="exact"/>
        <w:ind w:firstLine="640" w:firstLineChars="200"/>
        <w:rPr>
          <w:rFonts w:hint="eastAsia" w:ascii="仿宋" w:hAnsi="仿宋" w:eastAsia="仿宋" w:cs="仿宋"/>
          <w:color w:val="auto"/>
          <w:sz w:val="32"/>
          <w:szCs w:val="32"/>
          <w:highlight w:val="none"/>
        </w:rPr>
      </w:pPr>
      <w:r>
        <w:rPr>
          <w:rFonts w:hint="eastAsia" w:ascii="仿宋" w:hAnsi="仿宋" w:eastAsia="仿宋" w:cs="仿宋"/>
          <w:b w:val="0"/>
          <w:bCs w:val="0"/>
          <w:color w:val="auto"/>
          <w:w w:val="100"/>
          <w:sz w:val="32"/>
          <w:szCs w:val="32"/>
          <w:highlight w:val="none"/>
          <w:lang w:val="en" w:eastAsia="zh-CN" w:bidi="zh-CN"/>
        </w:rPr>
        <w:t>（一）绩效评价目的、对象和范围。</w:t>
      </w:r>
      <w:r>
        <w:rPr>
          <w:rFonts w:hint="eastAsia" w:ascii="仿宋" w:hAnsi="仿宋" w:eastAsia="仿宋" w:cs="仿宋"/>
          <w:color w:val="auto"/>
          <w:sz w:val="32"/>
          <w:szCs w:val="32"/>
          <w:highlight w:val="none"/>
        </w:rPr>
        <w:t>严格依照部门职能职责，贯彻落实中央、省市工作会议精神，按照市委市政府的工作部署，紧紧围绕全市经济社会发展大局，做好平台运行维护工作保证正常运转及17位自收自支人员经费，保证就业率。通过开展绩效评价，检验财政资金使用效率，是否完成工作目标，达到预算目的。</w:t>
      </w:r>
    </w:p>
    <w:p w14:paraId="329101D2">
      <w:pPr>
        <w:widowControl/>
        <w:adjustRightInd w:val="0"/>
        <w:snapToGrid w:val="0"/>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b w:val="0"/>
          <w:bCs w:val="0"/>
          <w:color w:val="auto"/>
          <w:w w:val="100"/>
          <w:sz w:val="32"/>
          <w:szCs w:val="32"/>
          <w:highlight w:val="none"/>
          <w:lang w:val="zh-CN" w:eastAsia="zh-CN" w:bidi="zh-CN"/>
        </w:rPr>
        <w:t>（二）评价依据。</w:t>
      </w:r>
      <w:r>
        <w:rPr>
          <w:rFonts w:hint="eastAsia" w:ascii="仿宋" w:hAnsi="仿宋" w:eastAsia="仿宋" w:cs="仿宋"/>
          <w:color w:val="auto"/>
          <w:sz w:val="32"/>
          <w:szCs w:val="32"/>
          <w:highlight w:val="none"/>
        </w:rPr>
        <w:t>根据《国务院办公厅关于印发整合建立统一的公共资源交易平台工作方案的通知》（国办发〔2015〕63号）、《公共资源交易平台管理暂行办法》（国家发展改革委等14部委第39号令）、《国务院办公厅转发〈国家发展改</w:t>
      </w:r>
      <w:r>
        <w:rPr>
          <w:rFonts w:hint="eastAsia" w:ascii="仿宋" w:hAnsi="仿宋" w:eastAsia="仿宋" w:cs="仿宋"/>
          <w:sz w:val="32"/>
          <w:szCs w:val="32"/>
        </w:rPr>
        <w:t>革委关于深化公共资源交易平台整合共享指导意见〉的通知》（国办函〔2019〕41号）等有关文件精神及省委省政府和市委市政府安排部署，建立统一的公共资源交易平台，是规范政府行政行为、建设阳光政府的重要内容，是加强项目质量管理、预防和遏制腐败的重要环节，是促进市场有序竞争、创造良好发展环境的重要举措。</w:t>
      </w:r>
    </w:p>
    <w:p w14:paraId="3B920570">
      <w:pPr>
        <w:keepNext w:val="0"/>
        <w:keepLines w:val="0"/>
        <w:pageBreakBefore w:val="0"/>
        <w:widowControl w:val="0"/>
        <w:kinsoku/>
        <w:wordWrap/>
        <w:overflowPunct/>
        <w:topLinePunct w:val="0"/>
        <w:autoSpaceDE w:val="0"/>
        <w:autoSpaceDN w:val="0"/>
        <w:bidi w:val="0"/>
        <w:adjustRightInd/>
        <w:snapToGrid/>
        <w:spacing w:before="0" w:after="0" w:line="560" w:lineRule="exact"/>
        <w:ind w:right="0" w:firstLine="640" w:firstLineChars="200"/>
        <w:jc w:val="left"/>
        <w:textAlignment w:val="auto"/>
        <w:rPr>
          <w:rFonts w:hint="eastAsia" w:ascii="仿宋" w:hAnsi="仿宋" w:eastAsia="仿宋" w:cs="仿宋"/>
          <w:b w:val="0"/>
          <w:bCs w:val="0"/>
          <w:w w:val="100"/>
          <w:sz w:val="32"/>
          <w:szCs w:val="32"/>
          <w:lang w:val="zh-CN" w:eastAsia="zh-CN" w:bidi="zh-CN"/>
        </w:rPr>
      </w:pPr>
      <w:r>
        <w:rPr>
          <w:rFonts w:hint="eastAsia" w:ascii="仿宋" w:hAnsi="仿宋" w:eastAsia="仿宋" w:cs="仿宋"/>
          <w:b w:val="0"/>
          <w:bCs w:val="0"/>
          <w:w w:val="100"/>
          <w:sz w:val="32"/>
          <w:szCs w:val="32"/>
          <w:lang w:val="zh-CN" w:eastAsia="zh-CN" w:bidi="zh-CN"/>
        </w:rPr>
        <w:t>（三）评价原则、评价方法。</w:t>
      </w:r>
      <w:r>
        <w:rPr>
          <w:rFonts w:hint="eastAsia" w:ascii="仿宋" w:hAnsi="仿宋" w:eastAsia="仿宋" w:cs="仿宋"/>
          <w:sz w:val="32"/>
          <w:szCs w:val="32"/>
        </w:rPr>
        <w:t>严格依照部门职能职责，对照中央、省市工作会议精神，按照市委市政府的工作部署，紧紧围绕全市经济社会发展大局，综合运用成本效益分析法、比较法、因素分析法等方法，衡量预期产出、预期效果、服务对象满意程度、达到预期产出所需要的成本资源等绩效指标。</w:t>
      </w:r>
    </w:p>
    <w:p w14:paraId="710286D9">
      <w:pPr>
        <w:keepNext w:val="0"/>
        <w:keepLines w:val="0"/>
        <w:pageBreakBefore w:val="0"/>
        <w:widowControl w:val="0"/>
        <w:kinsoku/>
        <w:wordWrap/>
        <w:overflowPunct/>
        <w:topLinePunct w:val="0"/>
        <w:autoSpaceDE w:val="0"/>
        <w:autoSpaceDN w:val="0"/>
        <w:bidi w:val="0"/>
        <w:adjustRightInd/>
        <w:snapToGrid/>
        <w:spacing w:before="0" w:after="0" w:line="560" w:lineRule="exact"/>
        <w:ind w:right="0" w:firstLine="640" w:firstLineChars="200"/>
        <w:jc w:val="left"/>
        <w:textAlignment w:val="auto"/>
        <w:rPr>
          <w:rFonts w:hint="eastAsia" w:ascii="仿宋" w:hAnsi="仿宋" w:eastAsia="仿宋" w:cs="仿宋"/>
          <w:sz w:val="32"/>
          <w:szCs w:val="32"/>
        </w:rPr>
      </w:pPr>
      <w:r>
        <w:rPr>
          <w:rFonts w:hint="eastAsia" w:ascii="仿宋" w:hAnsi="仿宋" w:eastAsia="仿宋" w:cs="仿宋"/>
          <w:b w:val="0"/>
          <w:bCs w:val="0"/>
          <w:w w:val="100"/>
          <w:sz w:val="32"/>
          <w:szCs w:val="32"/>
          <w:lang w:val="zh-CN" w:eastAsia="zh-CN" w:bidi="zh-CN"/>
        </w:rPr>
        <w:t>（四）绩效评价工作过程。</w:t>
      </w:r>
      <w:r>
        <w:rPr>
          <w:rFonts w:hint="eastAsia" w:ascii="仿宋" w:hAnsi="仿宋" w:eastAsia="仿宋" w:cs="仿宋"/>
          <w:sz w:val="32"/>
          <w:szCs w:val="32"/>
        </w:rPr>
        <w:t>一是做好前期准备，成立领领小组，制定评价方案。二是组织实施，召开领导小组会议，研究确定评价方案，明确专人负责，开展绩效评价，撰写评价报告。</w:t>
      </w:r>
    </w:p>
    <w:p w14:paraId="55B9EE76">
      <w:pPr>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3" w:firstLineChars="200"/>
        <w:jc w:val="left"/>
        <w:textAlignment w:val="auto"/>
        <w:rPr>
          <w:rFonts w:hint="eastAsia" w:asciiTheme="majorEastAsia" w:hAnsiTheme="majorEastAsia" w:eastAsiaTheme="majorEastAsia" w:cstheme="majorEastAsia"/>
          <w:b/>
          <w:bCs/>
          <w:w w:val="100"/>
          <w:sz w:val="32"/>
          <w:szCs w:val="32"/>
          <w:lang w:val="zh-CN" w:eastAsia="zh-CN" w:bidi="zh-CN"/>
        </w:rPr>
      </w:pPr>
      <w:r>
        <w:rPr>
          <w:rFonts w:hint="eastAsia" w:asciiTheme="majorEastAsia" w:hAnsiTheme="majorEastAsia" w:eastAsiaTheme="majorEastAsia" w:cstheme="majorEastAsia"/>
          <w:b/>
          <w:bCs/>
          <w:w w:val="100"/>
          <w:sz w:val="32"/>
          <w:szCs w:val="32"/>
          <w:lang w:val="zh-CN" w:eastAsia="zh-CN" w:bidi="zh-CN"/>
        </w:rPr>
        <w:t>四、评价结论及分析</w:t>
      </w:r>
    </w:p>
    <w:p w14:paraId="2E37B7A5">
      <w:pPr>
        <w:spacing w:line="560" w:lineRule="exact"/>
        <w:ind w:firstLine="640" w:firstLineChars="200"/>
        <w:rPr>
          <w:rFonts w:hint="eastAsia" w:ascii="仿宋" w:hAnsi="仿宋" w:eastAsia="仿宋" w:cs="仿宋"/>
          <w:color w:val="FF0000"/>
          <w:sz w:val="32"/>
          <w:szCs w:val="32"/>
        </w:rPr>
      </w:pPr>
      <w:r>
        <w:rPr>
          <w:rFonts w:hint="eastAsia" w:ascii="仿宋" w:hAnsi="仿宋" w:eastAsia="仿宋" w:cs="仿宋"/>
          <w:b w:val="0"/>
          <w:bCs w:val="0"/>
          <w:w w:val="100"/>
          <w:sz w:val="32"/>
          <w:szCs w:val="32"/>
          <w:lang w:val="zh-CN" w:eastAsia="zh-CN" w:bidi="zh-CN"/>
        </w:rPr>
        <w:t>（一）综合评价情况及评价结论。</w:t>
      </w:r>
      <w:r>
        <w:rPr>
          <w:rFonts w:hint="eastAsia" w:ascii="仿宋" w:hAnsi="仿宋" w:eastAsia="仿宋" w:cs="仿宋"/>
          <w:bCs/>
          <w:sz w:val="32"/>
          <w:szCs w:val="32"/>
        </w:rPr>
        <w:t>本项目具有明确的目标，项目实施过程中严格按照省、市有关项目管理和经费管理规定执行，合理控制成本、使用资金。中心上下团结一致，群策群力，明确项目执行计划、考核指标等事项，严格按照相关的管理制度和办法，组织人力物力完成项目各阶段的任务。202</w:t>
      </w:r>
      <w:r>
        <w:rPr>
          <w:rFonts w:hint="eastAsia" w:ascii="仿宋" w:hAnsi="仿宋" w:eastAsia="仿宋" w:cs="仿宋"/>
          <w:bCs/>
          <w:sz w:val="32"/>
          <w:szCs w:val="32"/>
          <w:lang w:val="en-US" w:eastAsia="zh-CN"/>
        </w:rPr>
        <w:t>2</w:t>
      </w:r>
      <w:r>
        <w:rPr>
          <w:rFonts w:hint="eastAsia" w:ascii="仿宋" w:hAnsi="仿宋" w:eastAsia="仿宋" w:cs="仿宋"/>
          <w:bCs/>
          <w:sz w:val="32"/>
          <w:szCs w:val="32"/>
        </w:rPr>
        <w:t>年市公共资源交易中心整体按照原预算和计划实施，项目管理规范有序。</w:t>
      </w:r>
    </w:p>
    <w:p w14:paraId="32C34F48">
      <w:pPr>
        <w:keepNext w:val="0"/>
        <w:keepLines w:val="0"/>
        <w:pageBreakBefore w:val="0"/>
        <w:widowControl w:val="0"/>
        <w:kinsoku/>
        <w:wordWrap/>
        <w:overflowPunct/>
        <w:topLinePunct w:val="0"/>
        <w:autoSpaceDE w:val="0"/>
        <w:autoSpaceDN w:val="0"/>
        <w:bidi w:val="0"/>
        <w:adjustRightInd/>
        <w:snapToGrid/>
        <w:spacing w:before="0" w:after="0" w:line="560" w:lineRule="exact"/>
        <w:ind w:right="0"/>
        <w:jc w:val="left"/>
        <w:textAlignment w:val="auto"/>
        <w:rPr>
          <w:rFonts w:hint="eastAsia" w:asciiTheme="majorEastAsia" w:hAnsiTheme="majorEastAsia" w:eastAsiaTheme="majorEastAsia" w:cstheme="majorEastAsia"/>
          <w:b/>
          <w:bCs/>
          <w:w w:val="100"/>
          <w:sz w:val="32"/>
          <w:szCs w:val="32"/>
          <w:lang w:val="zh-CN" w:eastAsia="zh-CN" w:bidi="zh-CN"/>
        </w:rPr>
      </w:pPr>
      <w:r>
        <w:rPr>
          <w:rFonts w:hint="eastAsia" w:asciiTheme="majorEastAsia" w:hAnsiTheme="majorEastAsia" w:eastAsiaTheme="majorEastAsia" w:cstheme="majorEastAsia"/>
          <w:b/>
          <w:bCs/>
          <w:w w:val="100"/>
          <w:sz w:val="32"/>
          <w:szCs w:val="32"/>
          <w:lang w:val="zh-CN" w:eastAsia="zh-CN" w:bidi="zh-CN"/>
        </w:rPr>
        <w:t>五、绩效评价指标分析</w:t>
      </w:r>
    </w:p>
    <w:p w14:paraId="59B8F2DD">
      <w:pPr>
        <w:widowControl/>
        <w:shd w:val="clear" w:color="auto" w:fill="FFFFFF"/>
        <w:spacing w:line="360" w:lineRule="auto"/>
        <w:ind w:firstLine="640" w:firstLineChars="200"/>
        <w:rPr>
          <w:rFonts w:hint="eastAsia" w:ascii="仿宋" w:hAnsi="仿宋" w:eastAsia="仿宋" w:cs="仿宋"/>
          <w:b w:val="0"/>
          <w:bCs w:val="0"/>
          <w:w w:val="100"/>
          <w:sz w:val="32"/>
          <w:szCs w:val="32"/>
          <w:lang w:val="zh-CN" w:eastAsia="zh-CN" w:bidi="zh-CN"/>
        </w:rPr>
      </w:pPr>
      <w:r>
        <w:rPr>
          <w:rFonts w:hint="eastAsia" w:ascii="仿宋" w:hAnsi="仿宋" w:eastAsia="仿宋" w:cs="仿宋"/>
          <w:b w:val="0"/>
          <w:bCs w:val="0"/>
          <w:w w:val="100"/>
          <w:sz w:val="32"/>
          <w:szCs w:val="32"/>
          <w:lang w:val="zh-CN" w:eastAsia="zh-CN" w:bidi="zh-CN"/>
        </w:rPr>
        <w:t>（一）项目决策情况。</w:t>
      </w:r>
      <w:r>
        <w:rPr>
          <w:rFonts w:hint="eastAsia" w:ascii="仿宋" w:hAnsi="仿宋" w:eastAsia="仿宋" w:cs="仿宋"/>
          <w:sz w:val="32"/>
          <w:szCs w:val="32"/>
        </w:rPr>
        <w:t>本项目的经费严格按照单位的财务制度和预算支出范围使用。由市财政局国库支付局统一核算，按照项目计划安排和实际工作情况开支，做到了专款专用。</w:t>
      </w:r>
    </w:p>
    <w:p w14:paraId="516396D3">
      <w:pPr>
        <w:widowControl/>
        <w:shd w:val="clear" w:color="auto" w:fill="FFFFFF"/>
        <w:spacing w:line="360" w:lineRule="auto"/>
        <w:ind w:firstLine="640" w:firstLineChars="200"/>
        <w:rPr>
          <w:rFonts w:hint="eastAsia" w:ascii="仿宋" w:hAnsi="仿宋" w:eastAsia="仿宋" w:cs="仿宋"/>
          <w:b w:val="0"/>
          <w:bCs w:val="0"/>
          <w:w w:val="100"/>
          <w:sz w:val="32"/>
          <w:szCs w:val="32"/>
          <w:lang w:val="zh-CN" w:eastAsia="zh-CN" w:bidi="zh-CN"/>
        </w:rPr>
      </w:pPr>
      <w:r>
        <w:rPr>
          <w:rFonts w:hint="eastAsia" w:ascii="仿宋" w:hAnsi="仿宋" w:eastAsia="仿宋" w:cs="仿宋"/>
          <w:b w:val="0"/>
          <w:bCs w:val="0"/>
          <w:w w:val="100"/>
          <w:sz w:val="32"/>
          <w:szCs w:val="32"/>
          <w:lang w:val="zh-CN" w:eastAsia="zh-CN" w:bidi="zh-CN"/>
        </w:rPr>
        <w:t>（二）项目过程情况。</w:t>
      </w:r>
      <w:r>
        <w:rPr>
          <w:rFonts w:hint="eastAsia" w:ascii="仿宋" w:hAnsi="仿宋" w:eastAsia="仿宋" w:cs="仿宋"/>
          <w:sz w:val="32"/>
          <w:szCs w:val="32"/>
          <w:lang w:val="en-US" w:eastAsia="zh-CN"/>
        </w:rPr>
        <w:t>1、</w:t>
      </w:r>
      <w:r>
        <w:rPr>
          <w:rFonts w:hint="eastAsia" w:ascii="仿宋" w:hAnsi="仿宋" w:eastAsia="仿宋" w:cs="仿宋"/>
          <w:sz w:val="32"/>
          <w:szCs w:val="32"/>
        </w:rPr>
        <w:t>项目组织情况分析。成立以办公室牵头，各科室为成员的项目小组，对公共资源交易平台发展情况进行规划，提出需求，进行审核，拨付项目工作经费，确保工作的开展。2.项目管理情况分析。每季度由财务人员向单位领导汇报项目支出情况，领导根据支出安排下一步工作的开展。</w:t>
      </w:r>
    </w:p>
    <w:p w14:paraId="6D0E960B">
      <w:pPr>
        <w:spacing w:line="560" w:lineRule="exact"/>
        <w:ind w:firstLine="640" w:firstLineChars="200"/>
        <w:rPr>
          <w:rFonts w:hint="eastAsia" w:ascii="仿宋" w:hAnsi="仿宋" w:eastAsia="仿宋" w:cs="仿宋"/>
          <w:bCs/>
          <w:sz w:val="32"/>
          <w:szCs w:val="32"/>
          <w:lang w:val="zh-CN" w:eastAsia="zh-CN"/>
        </w:rPr>
      </w:pPr>
      <w:r>
        <w:rPr>
          <w:rFonts w:hint="eastAsia" w:ascii="仿宋" w:hAnsi="仿宋" w:eastAsia="仿宋" w:cs="仿宋"/>
          <w:bCs/>
          <w:sz w:val="32"/>
          <w:szCs w:val="32"/>
          <w:lang w:val="zh-CN" w:eastAsia="zh-CN"/>
        </w:rPr>
        <w:t>（三）项目产出情况。</w:t>
      </w:r>
    </w:p>
    <w:p w14:paraId="3D6E0B93">
      <w:pPr>
        <w:spacing w:line="560" w:lineRule="exact"/>
        <w:ind w:firstLine="640" w:firstLineChars="200"/>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1、每月检查信息系统及时缴纳办公场所物业费、机房水电费、办公耗材、人工费用约5万元，保证平台正常运转。</w:t>
      </w:r>
    </w:p>
    <w:p w14:paraId="66C46ADC">
      <w:pPr>
        <w:spacing w:line="560" w:lineRule="exact"/>
        <w:ind w:firstLine="640" w:firstLineChars="200"/>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2、保证每月完成拨付自收自支人员工资约20.05万元任务。</w:t>
      </w:r>
    </w:p>
    <w:p w14:paraId="6BC90790">
      <w:pPr>
        <w:spacing w:line="560" w:lineRule="exact"/>
        <w:ind w:firstLine="640" w:firstLineChars="200"/>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3、保证每次交易活动的顺利进行，提供各种保障服务。</w:t>
      </w:r>
    </w:p>
    <w:p w14:paraId="59DF7DB2">
      <w:pPr>
        <w:spacing w:line="560" w:lineRule="exact"/>
        <w:ind w:firstLine="640" w:firstLineChars="200"/>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4、保障交易平台硬件改造、信息化建设、人员经费、公用经费、日常办公经费（电话网络服务费，办公消耗品、水电、暖及物业费）、自收自支人员工资等各项费用，确保交易系统正常运行。</w:t>
      </w:r>
    </w:p>
    <w:p w14:paraId="35110961">
      <w:pPr>
        <w:spacing w:line="560" w:lineRule="exact"/>
        <w:ind w:firstLine="640" w:firstLineChars="200"/>
        <w:rPr>
          <w:rFonts w:hint="eastAsia" w:ascii="仿宋" w:hAnsi="仿宋" w:eastAsia="仿宋" w:cs="仿宋"/>
          <w:b w:val="0"/>
          <w:bCs w:val="0"/>
          <w:w w:val="100"/>
          <w:sz w:val="32"/>
          <w:szCs w:val="32"/>
          <w:lang w:val="zh-CN" w:eastAsia="zh-CN" w:bidi="zh-CN"/>
        </w:rPr>
      </w:pPr>
      <w:r>
        <w:rPr>
          <w:rFonts w:hint="eastAsia" w:ascii="仿宋" w:hAnsi="仿宋" w:eastAsia="仿宋" w:cs="仿宋"/>
          <w:bCs/>
          <w:sz w:val="32"/>
          <w:szCs w:val="32"/>
          <w:lang w:val="zh-CN" w:eastAsia="zh-CN"/>
        </w:rPr>
        <w:t>（四）项目效益情况。</w:t>
      </w:r>
      <w:r>
        <w:rPr>
          <w:rFonts w:hint="eastAsia" w:ascii="仿宋" w:hAnsi="仿宋" w:eastAsia="仿宋" w:cs="仿宋"/>
          <w:bCs/>
          <w:sz w:val="32"/>
          <w:szCs w:val="32"/>
        </w:rPr>
        <w:t>维护交易系</w:t>
      </w:r>
      <w:r>
        <w:rPr>
          <w:rFonts w:hint="eastAsia" w:ascii="仿宋" w:hAnsi="仿宋" w:eastAsia="仿宋" w:cs="仿宋"/>
          <w:sz w:val="32"/>
          <w:szCs w:val="32"/>
        </w:rPr>
        <w:t>统正常运行，保障交易平台硬件改造、信息化建设、人员经费、公用经费、日常办公经费（电话网络服务费，办公消耗品、水电、暖及物业费）、自收自支人员工资等各项费用，确保交易系统正常运行。及时完成各项交易活动，严格按照《招投标法》《实施条例》等法规，按照规定时间完成各项的工作开展，确保电子交易系统正常运转，确保公共资源交易活动的正常开展，开评标活动完成率100%</w:t>
      </w:r>
      <w:r>
        <w:rPr>
          <w:rFonts w:hint="eastAsia" w:ascii="仿宋" w:hAnsi="仿宋" w:eastAsia="仿宋" w:cs="仿宋"/>
          <w:sz w:val="32"/>
          <w:szCs w:val="32"/>
          <w:lang w:eastAsia="zh-CN"/>
        </w:rPr>
        <w:t>。</w:t>
      </w:r>
    </w:p>
    <w:p w14:paraId="28428305">
      <w:pPr>
        <w:pStyle w:val="4"/>
        <w:numPr>
          <w:ilvl w:val="0"/>
          <w:numId w:val="0"/>
        </w:numPr>
        <w:spacing w:line="240" w:lineRule="atLeast"/>
        <w:rPr>
          <w:rFonts w:hint="eastAsia" w:asciiTheme="majorEastAsia" w:hAnsiTheme="majorEastAsia" w:eastAsiaTheme="majorEastAsia" w:cstheme="majorEastAsia"/>
          <w:b/>
          <w:bCs/>
          <w:color w:val="auto"/>
          <w:sz w:val="32"/>
          <w:szCs w:val="32"/>
        </w:rPr>
      </w:pPr>
      <w:r>
        <w:rPr>
          <w:rFonts w:hint="eastAsia" w:asciiTheme="majorEastAsia" w:hAnsiTheme="majorEastAsia" w:eastAsiaTheme="majorEastAsia" w:cstheme="majorEastAsia"/>
          <w:b/>
          <w:bCs/>
          <w:w w:val="100"/>
          <w:kern w:val="2"/>
          <w:sz w:val="32"/>
          <w:szCs w:val="32"/>
          <w:lang w:val="zh-CN" w:eastAsia="zh-CN" w:bidi="zh-CN"/>
        </w:rPr>
        <w:t>六、存</w:t>
      </w:r>
      <w:r>
        <w:rPr>
          <w:rFonts w:hint="eastAsia" w:asciiTheme="majorEastAsia" w:hAnsiTheme="majorEastAsia" w:eastAsiaTheme="majorEastAsia" w:cstheme="majorEastAsia"/>
          <w:b/>
          <w:bCs/>
          <w:w w:val="100"/>
          <w:sz w:val="32"/>
          <w:szCs w:val="32"/>
          <w:lang w:val="zh-CN" w:eastAsia="zh-CN" w:bidi="zh-CN"/>
        </w:rPr>
        <w:t>在的问题及原因</w:t>
      </w:r>
    </w:p>
    <w:p w14:paraId="1ED9AC10">
      <w:pPr>
        <w:pStyle w:val="4"/>
        <w:numPr>
          <w:ilvl w:val="0"/>
          <w:numId w:val="0"/>
        </w:numPr>
        <w:spacing w:line="240" w:lineRule="atLeas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绩效目标有时存在动态性，指标的制定和下一年绩效目标的执行受当地经济环境影响，存在一定差异性。计划在下一年的申报绩效资金时科学合理的编制项目绩效目标，进一步做到绩效目标明确、细化、亮化。</w:t>
      </w:r>
    </w:p>
    <w:p w14:paraId="21C713D5">
      <w:pPr>
        <w:spacing w:before="100" w:beforeLines="0" w:after="100" w:afterLines="0"/>
        <w:jc w:val="both"/>
        <w:rPr>
          <w:rFonts w:hint="eastAsia" w:ascii="宋体" w:hAnsi="宋体"/>
          <w:b/>
          <w:color w:val="auto"/>
          <w:sz w:val="24"/>
          <w:szCs w:val="24"/>
          <w:lang w:val="zh-CN"/>
        </w:rPr>
      </w:pPr>
    </w:p>
    <w:p w14:paraId="73C4310C">
      <w:pPr>
        <w:spacing w:before="100" w:beforeLines="0" w:after="100" w:afterLines="0"/>
        <w:ind w:firstLine="3213" w:firstLineChars="1000"/>
        <w:jc w:val="both"/>
        <w:rPr>
          <w:rFonts w:hint="eastAsia" w:ascii="宋体" w:hAnsi="宋体" w:eastAsia="宋体" w:cs="宋体"/>
          <w:color w:val="auto"/>
          <w:sz w:val="32"/>
          <w:szCs w:val="32"/>
          <w:lang w:val="zh-CN"/>
        </w:rPr>
      </w:pPr>
      <w:r>
        <w:rPr>
          <w:rFonts w:hint="eastAsia" w:ascii="宋体" w:hAnsi="宋体" w:eastAsia="宋体" w:cs="宋体"/>
          <w:b/>
          <w:color w:val="auto"/>
          <w:sz w:val="32"/>
          <w:szCs w:val="32"/>
          <w:lang w:val="zh-CN"/>
        </w:rPr>
        <w:t>第五部分名词解释</w:t>
      </w:r>
    </w:p>
    <w:p w14:paraId="0616C8EE">
      <w:pPr>
        <w:spacing w:before="100" w:beforeLines="0" w:after="100" w:afterLines="0"/>
        <w:jc w:val="left"/>
        <w:rPr>
          <w:rFonts w:hint="eastAsia" w:ascii="仿宋" w:hAnsi="仿宋" w:eastAsia="仿宋" w:cs="仿宋"/>
          <w:color w:val="auto"/>
          <w:sz w:val="32"/>
          <w:szCs w:val="32"/>
          <w:lang w:val="zh-CN"/>
        </w:rPr>
      </w:pPr>
      <w:r>
        <w:rPr>
          <w:rFonts w:hint="eastAsia" w:asciiTheme="majorEastAsia" w:hAnsiTheme="majorEastAsia" w:eastAsiaTheme="majorEastAsia" w:cstheme="majorEastAsia"/>
          <w:b/>
          <w:bCs w:val="0"/>
          <w:color w:val="auto"/>
          <w:sz w:val="32"/>
          <w:szCs w:val="32"/>
          <w:lang w:val="zh-CN"/>
        </w:rPr>
        <w:t>一、财政拨款收入：</w:t>
      </w:r>
      <w:r>
        <w:rPr>
          <w:rFonts w:hint="eastAsia" w:ascii="仿宋" w:hAnsi="仿宋" w:eastAsia="仿宋" w:cs="仿宋"/>
          <w:color w:val="auto"/>
          <w:sz w:val="32"/>
          <w:szCs w:val="32"/>
          <w:lang w:val="zh-CN"/>
        </w:rPr>
        <w:t>指本年度从本级财政部门取得的财政拨款,包括一般公共预算财政拨款和政府性基金预算财政拨款。</w:t>
      </w:r>
    </w:p>
    <w:p w14:paraId="2BD5C96C">
      <w:pPr>
        <w:spacing w:before="100" w:beforeLines="0" w:after="100" w:afterLines="0"/>
        <w:jc w:val="left"/>
        <w:rPr>
          <w:rFonts w:hint="eastAsia" w:ascii="仿宋" w:hAnsi="仿宋" w:eastAsia="仿宋" w:cs="仿宋"/>
          <w:color w:val="auto"/>
          <w:sz w:val="32"/>
          <w:szCs w:val="32"/>
          <w:lang w:val="zh-CN"/>
        </w:rPr>
      </w:pPr>
      <w:r>
        <w:rPr>
          <w:rFonts w:hint="eastAsia" w:asciiTheme="majorEastAsia" w:hAnsiTheme="majorEastAsia" w:eastAsiaTheme="majorEastAsia" w:cstheme="majorEastAsia"/>
          <w:b/>
          <w:bCs w:val="0"/>
          <w:color w:val="auto"/>
          <w:sz w:val="32"/>
          <w:szCs w:val="32"/>
          <w:lang w:val="zh-CN"/>
        </w:rPr>
        <w:t>二、事业收入：</w:t>
      </w:r>
      <w:r>
        <w:rPr>
          <w:rFonts w:hint="eastAsia" w:ascii="仿宋" w:hAnsi="仿宋" w:eastAsia="仿宋" w:cs="仿宋"/>
          <w:color w:val="auto"/>
          <w:sz w:val="32"/>
          <w:szCs w:val="32"/>
          <w:lang w:val="zh-CN"/>
        </w:rPr>
        <w:t>指事业单位开展专业业务活动及其辅助活动取得的现金流入；事业单位收到的财政专户实际核拨的教育收费等资金在此反映。</w:t>
      </w:r>
    </w:p>
    <w:p w14:paraId="1811DD20">
      <w:pPr>
        <w:spacing w:before="100" w:beforeLines="0" w:after="100" w:afterLines="0"/>
        <w:jc w:val="left"/>
        <w:rPr>
          <w:rFonts w:hint="eastAsia" w:ascii="仿宋" w:hAnsi="仿宋" w:eastAsia="仿宋" w:cs="仿宋"/>
          <w:color w:val="auto"/>
          <w:sz w:val="32"/>
          <w:szCs w:val="32"/>
          <w:lang w:val="zh-CN"/>
        </w:rPr>
      </w:pPr>
      <w:r>
        <w:rPr>
          <w:rFonts w:hint="eastAsia" w:asciiTheme="majorEastAsia" w:hAnsiTheme="majorEastAsia" w:eastAsiaTheme="majorEastAsia" w:cstheme="majorEastAsia"/>
          <w:b/>
          <w:color w:val="auto"/>
          <w:sz w:val="32"/>
          <w:szCs w:val="32"/>
          <w:lang w:val="zh-CN"/>
        </w:rPr>
        <w:t>三、经营收入</w:t>
      </w:r>
      <w:r>
        <w:rPr>
          <w:rFonts w:hint="eastAsia" w:asciiTheme="majorEastAsia" w:hAnsiTheme="majorEastAsia" w:eastAsiaTheme="majorEastAsia" w:cstheme="majorEastAsia"/>
          <w:color w:val="auto"/>
          <w:sz w:val="32"/>
          <w:szCs w:val="32"/>
          <w:lang w:val="zh-CN"/>
        </w:rPr>
        <w:t>：</w:t>
      </w:r>
      <w:r>
        <w:rPr>
          <w:rFonts w:hint="eastAsia" w:ascii="仿宋" w:hAnsi="仿宋" w:eastAsia="仿宋" w:cs="仿宋"/>
          <w:color w:val="auto"/>
          <w:sz w:val="32"/>
          <w:szCs w:val="32"/>
          <w:lang w:val="zh-CN"/>
        </w:rPr>
        <w:t>指事业单位在专业业务活动及其辅助活动之外开展非独立核算经营活动取得的现金流入。</w:t>
      </w:r>
    </w:p>
    <w:p w14:paraId="424F71ED">
      <w:pPr>
        <w:spacing w:before="100" w:beforeLines="0" w:after="100" w:afterLines="0"/>
        <w:jc w:val="left"/>
        <w:rPr>
          <w:rFonts w:hint="eastAsia" w:ascii="仿宋" w:hAnsi="仿宋" w:eastAsia="仿宋" w:cs="仿宋"/>
          <w:color w:val="auto"/>
          <w:sz w:val="32"/>
          <w:szCs w:val="32"/>
          <w:lang w:val="zh-CN"/>
        </w:rPr>
      </w:pPr>
      <w:r>
        <w:rPr>
          <w:rFonts w:hint="eastAsia" w:asciiTheme="majorEastAsia" w:hAnsiTheme="majorEastAsia" w:eastAsiaTheme="majorEastAsia" w:cstheme="majorEastAsia"/>
          <w:b/>
          <w:color w:val="auto"/>
          <w:sz w:val="32"/>
          <w:szCs w:val="32"/>
          <w:lang w:val="zh-CN"/>
        </w:rPr>
        <w:t>四、其他收入</w:t>
      </w:r>
      <w:r>
        <w:rPr>
          <w:rFonts w:hint="eastAsia" w:asciiTheme="majorEastAsia" w:hAnsiTheme="majorEastAsia" w:eastAsiaTheme="majorEastAsia" w:cstheme="majorEastAsia"/>
          <w:color w:val="auto"/>
          <w:sz w:val="32"/>
          <w:szCs w:val="32"/>
          <w:lang w:val="zh-CN"/>
        </w:rPr>
        <w:t>：</w:t>
      </w:r>
      <w:r>
        <w:rPr>
          <w:rFonts w:hint="eastAsia" w:ascii="仿宋" w:hAnsi="仿宋" w:eastAsia="仿宋" w:cs="仿宋"/>
          <w:color w:val="auto"/>
          <w:sz w:val="32"/>
          <w:szCs w:val="32"/>
          <w:lang w:val="zh-CN"/>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2F0C0E21">
      <w:pPr>
        <w:spacing w:before="100" w:beforeLines="0" w:after="100" w:afterLines="0"/>
        <w:jc w:val="left"/>
        <w:rPr>
          <w:rFonts w:hint="eastAsia" w:ascii="仿宋" w:hAnsi="仿宋" w:eastAsia="仿宋" w:cs="仿宋"/>
          <w:color w:val="auto"/>
          <w:sz w:val="32"/>
          <w:szCs w:val="32"/>
          <w:lang w:val="zh-CN"/>
        </w:rPr>
      </w:pPr>
      <w:r>
        <w:rPr>
          <w:rFonts w:hint="eastAsia" w:asciiTheme="majorEastAsia" w:hAnsiTheme="majorEastAsia" w:eastAsiaTheme="majorEastAsia" w:cstheme="majorEastAsia"/>
          <w:b/>
          <w:color w:val="auto"/>
          <w:sz w:val="32"/>
          <w:szCs w:val="32"/>
          <w:lang w:val="zh-CN"/>
        </w:rPr>
        <w:t>五、年初结转和结余</w:t>
      </w:r>
      <w:r>
        <w:rPr>
          <w:rFonts w:hint="eastAsia" w:asciiTheme="majorEastAsia" w:hAnsiTheme="majorEastAsia" w:eastAsiaTheme="majorEastAsia" w:cstheme="majorEastAsia"/>
          <w:color w:val="auto"/>
          <w:sz w:val="32"/>
          <w:szCs w:val="32"/>
          <w:lang w:val="zh-CN"/>
        </w:rPr>
        <w:t>：</w:t>
      </w:r>
      <w:r>
        <w:rPr>
          <w:rFonts w:hint="eastAsia" w:ascii="仿宋" w:hAnsi="仿宋" w:eastAsia="仿宋" w:cs="仿宋"/>
          <w:color w:val="auto"/>
          <w:sz w:val="32"/>
          <w:szCs w:val="32"/>
          <w:lang w:val="zh-CN"/>
        </w:rPr>
        <w:t>指单位上年结转本年使用的基本支出结转、项目支出结转和结余、经营结余。</w:t>
      </w:r>
    </w:p>
    <w:p w14:paraId="4878D823">
      <w:pPr>
        <w:spacing w:before="100" w:beforeLines="0" w:after="100" w:afterLines="0"/>
        <w:jc w:val="left"/>
        <w:rPr>
          <w:rFonts w:hint="eastAsia" w:ascii="仿宋" w:hAnsi="仿宋" w:eastAsia="仿宋" w:cs="仿宋"/>
          <w:color w:val="auto"/>
          <w:sz w:val="32"/>
          <w:szCs w:val="32"/>
          <w:lang w:val="zh-CN"/>
        </w:rPr>
      </w:pPr>
      <w:r>
        <w:rPr>
          <w:rFonts w:hint="eastAsia" w:asciiTheme="majorEastAsia" w:hAnsiTheme="majorEastAsia" w:eastAsiaTheme="majorEastAsia" w:cstheme="majorEastAsia"/>
          <w:b/>
          <w:color w:val="auto"/>
          <w:sz w:val="32"/>
          <w:szCs w:val="32"/>
          <w:lang w:val="zh-CN"/>
        </w:rPr>
        <w:t>六、结余分配</w:t>
      </w:r>
      <w:r>
        <w:rPr>
          <w:rFonts w:hint="eastAsia" w:asciiTheme="majorEastAsia" w:hAnsiTheme="majorEastAsia" w:eastAsiaTheme="majorEastAsia" w:cstheme="majorEastAsia"/>
          <w:color w:val="auto"/>
          <w:sz w:val="32"/>
          <w:szCs w:val="32"/>
          <w:lang w:val="zh-CN"/>
        </w:rPr>
        <w:t>：</w:t>
      </w:r>
      <w:r>
        <w:rPr>
          <w:rFonts w:hint="eastAsia" w:ascii="仿宋" w:hAnsi="仿宋" w:eastAsia="仿宋" w:cs="仿宋"/>
          <w:color w:val="auto"/>
          <w:sz w:val="32"/>
          <w:szCs w:val="32"/>
          <w:lang w:val="zh-CN"/>
        </w:rPr>
        <w:t>指单位按照国家有关规定,缴纳所得税、提取专用基金、转入事业基金等当年结余的分配情况。</w:t>
      </w:r>
    </w:p>
    <w:p w14:paraId="3BA7B951">
      <w:pPr>
        <w:spacing w:before="100" w:beforeLines="0" w:after="100" w:afterLines="0"/>
        <w:jc w:val="left"/>
        <w:rPr>
          <w:rFonts w:hint="eastAsia" w:ascii="仿宋" w:hAnsi="仿宋" w:eastAsia="仿宋" w:cs="仿宋"/>
          <w:color w:val="auto"/>
          <w:sz w:val="32"/>
          <w:szCs w:val="32"/>
          <w:lang w:val="zh-CN"/>
        </w:rPr>
      </w:pPr>
      <w:r>
        <w:rPr>
          <w:rFonts w:hint="eastAsia" w:asciiTheme="majorEastAsia" w:hAnsiTheme="majorEastAsia" w:eastAsiaTheme="majorEastAsia" w:cstheme="majorEastAsia"/>
          <w:b/>
          <w:color w:val="auto"/>
          <w:sz w:val="32"/>
          <w:szCs w:val="32"/>
          <w:lang w:val="zh-CN"/>
        </w:rPr>
        <w:t>七、年末结转和结余</w:t>
      </w:r>
      <w:r>
        <w:rPr>
          <w:rFonts w:hint="eastAsia" w:asciiTheme="majorEastAsia" w:hAnsiTheme="majorEastAsia" w:eastAsiaTheme="majorEastAsia" w:cstheme="majorEastAsia"/>
          <w:color w:val="auto"/>
          <w:sz w:val="32"/>
          <w:szCs w:val="32"/>
          <w:lang w:val="zh-CN"/>
        </w:rPr>
        <w:t>：</w:t>
      </w:r>
      <w:r>
        <w:rPr>
          <w:rFonts w:hint="eastAsia" w:ascii="仿宋" w:hAnsi="仿宋" w:eastAsia="仿宋" w:cs="仿宋"/>
          <w:color w:val="auto"/>
          <w:sz w:val="32"/>
          <w:szCs w:val="32"/>
          <w:lang w:val="zh-CN"/>
        </w:rPr>
        <w:t>指单位结转下年的基本支出结转、项目支出结转和结余、经营结余。</w:t>
      </w:r>
    </w:p>
    <w:p w14:paraId="636C4ADF">
      <w:pPr>
        <w:spacing w:before="100" w:beforeLines="0" w:after="100" w:afterLines="0"/>
        <w:jc w:val="left"/>
        <w:rPr>
          <w:rFonts w:hint="eastAsia" w:ascii="仿宋" w:hAnsi="仿宋" w:eastAsia="仿宋" w:cs="仿宋"/>
          <w:color w:val="auto"/>
          <w:sz w:val="32"/>
          <w:szCs w:val="32"/>
          <w:lang w:val="zh-CN"/>
        </w:rPr>
      </w:pPr>
      <w:r>
        <w:rPr>
          <w:rFonts w:hint="eastAsia" w:asciiTheme="majorEastAsia" w:hAnsiTheme="majorEastAsia" w:eastAsiaTheme="majorEastAsia" w:cstheme="majorEastAsia"/>
          <w:b/>
          <w:color w:val="auto"/>
          <w:sz w:val="32"/>
          <w:szCs w:val="32"/>
          <w:lang w:val="zh-CN"/>
        </w:rPr>
        <w:t>八、基本支出</w:t>
      </w:r>
      <w:r>
        <w:rPr>
          <w:rFonts w:hint="eastAsia" w:asciiTheme="majorEastAsia" w:hAnsiTheme="majorEastAsia" w:eastAsiaTheme="majorEastAsia" w:cstheme="majorEastAsia"/>
          <w:color w:val="auto"/>
          <w:sz w:val="32"/>
          <w:szCs w:val="32"/>
          <w:lang w:val="zh-CN"/>
        </w:rPr>
        <w:t>：</w:t>
      </w:r>
      <w:r>
        <w:rPr>
          <w:rFonts w:hint="eastAsia" w:ascii="仿宋" w:hAnsi="仿宋" w:eastAsia="仿宋" w:cs="仿宋"/>
          <w:color w:val="auto"/>
          <w:sz w:val="32"/>
          <w:szCs w:val="32"/>
          <w:lang w:val="zh-CN"/>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7BED68D6">
      <w:pPr>
        <w:spacing w:before="100" w:beforeLines="0" w:after="100" w:afterLines="0"/>
        <w:jc w:val="left"/>
        <w:rPr>
          <w:rFonts w:hint="eastAsia" w:ascii="仿宋" w:hAnsi="仿宋" w:eastAsia="仿宋" w:cs="仿宋"/>
          <w:color w:val="auto"/>
          <w:sz w:val="32"/>
          <w:szCs w:val="32"/>
          <w:lang w:val="zh-CN"/>
        </w:rPr>
      </w:pPr>
      <w:r>
        <w:rPr>
          <w:rFonts w:hint="eastAsia" w:asciiTheme="majorEastAsia" w:hAnsiTheme="majorEastAsia" w:eastAsiaTheme="majorEastAsia" w:cstheme="majorEastAsia"/>
          <w:b/>
          <w:color w:val="auto"/>
          <w:sz w:val="32"/>
          <w:szCs w:val="32"/>
          <w:lang w:val="zh-CN"/>
        </w:rPr>
        <w:t>九、项目支出</w:t>
      </w:r>
      <w:r>
        <w:rPr>
          <w:rFonts w:hint="eastAsia" w:asciiTheme="majorEastAsia" w:hAnsiTheme="majorEastAsia" w:eastAsiaTheme="majorEastAsia" w:cstheme="majorEastAsia"/>
          <w:color w:val="auto"/>
          <w:sz w:val="32"/>
          <w:szCs w:val="32"/>
          <w:lang w:val="zh-CN"/>
        </w:rPr>
        <w:t>：</w:t>
      </w:r>
      <w:r>
        <w:rPr>
          <w:rFonts w:hint="eastAsia" w:ascii="仿宋" w:hAnsi="仿宋" w:eastAsia="仿宋" w:cs="仿宋"/>
          <w:color w:val="auto"/>
          <w:sz w:val="32"/>
          <w:szCs w:val="32"/>
          <w:lang w:val="zh-CN"/>
        </w:rPr>
        <w:t>指在基本支出之外为完成特定行政任务和事业发展目标所发生的支出。</w:t>
      </w:r>
    </w:p>
    <w:p w14:paraId="2F5AA1D1">
      <w:pPr>
        <w:spacing w:before="100" w:beforeLines="0" w:after="100" w:afterLines="0"/>
        <w:jc w:val="left"/>
        <w:rPr>
          <w:rFonts w:hint="eastAsia" w:ascii="仿宋" w:hAnsi="仿宋" w:eastAsia="仿宋" w:cs="仿宋"/>
          <w:color w:val="auto"/>
          <w:sz w:val="32"/>
          <w:szCs w:val="32"/>
          <w:lang w:val="zh-CN"/>
        </w:rPr>
      </w:pPr>
      <w:r>
        <w:rPr>
          <w:rFonts w:hint="eastAsia" w:asciiTheme="majorEastAsia" w:hAnsiTheme="majorEastAsia" w:eastAsiaTheme="majorEastAsia" w:cstheme="majorEastAsia"/>
          <w:b/>
          <w:color w:val="auto"/>
          <w:sz w:val="32"/>
          <w:szCs w:val="32"/>
          <w:lang w:val="zh-CN"/>
        </w:rPr>
        <w:t>十、经营支出</w:t>
      </w:r>
      <w:r>
        <w:rPr>
          <w:rFonts w:hint="eastAsia" w:asciiTheme="majorEastAsia" w:hAnsiTheme="majorEastAsia" w:eastAsiaTheme="majorEastAsia" w:cstheme="majorEastAsia"/>
          <w:color w:val="auto"/>
          <w:sz w:val="32"/>
          <w:szCs w:val="32"/>
          <w:lang w:val="zh-CN"/>
        </w:rPr>
        <w:t>：</w:t>
      </w:r>
      <w:r>
        <w:rPr>
          <w:rFonts w:hint="eastAsia" w:ascii="仿宋" w:hAnsi="仿宋" w:eastAsia="仿宋" w:cs="仿宋"/>
          <w:color w:val="auto"/>
          <w:sz w:val="32"/>
          <w:szCs w:val="32"/>
          <w:lang w:val="zh-CN"/>
        </w:rPr>
        <w:t>指事业单位在专业业务活动及其辅助活动之外开展非独立核算经营活动发生的支出。</w:t>
      </w:r>
    </w:p>
    <w:p w14:paraId="7DFA008D">
      <w:pPr>
        <w:spacing w:before="100" w:beforeLines="0" w:after="100" w:afterLines="0"/>
        <w:jc w:val="left"/>
        <w:rPr>
          <w:rFonts w:hint="eastAsia" w:ascii="仿宋" w:hAnsi="仿宋" w:eastAsia="仿宋" w:cs="仿宋"/>
          <w:color w:val="auto"/>
          <w:sz w:val="32"/>
          <w:szCs w:val="32"/>
          <w:lang w:val="zh-CN"/>
        </w:rPr>
      </w:pPr>
      <w:r>
        <w:rPr>
          <w:rFonts w:hint="eastAsia" w:asciiTheme="majorEastAsia" w:hAnsiTheme="majorEastAsia" w:eastAsiaTheme="majorEastAsia" w:cstheme="majorEastAsia"/>
          <w:b/>
          <w:color w:val="auto"/>
          <w:sz w:val="32"/>
          <w:szCs w:val="32"/>
          <w:lang w:val="zh-CN"/>
        </w:rPr>
        <w:t>十一、“三公”经费</w:t>
      </w:r>
      <w:r>
        <w:rPr>
          <w:rFonts w:hint="eastAsia" w:asciiTheme="majorEastAsia" w:hAnsiTheme="majorEastAsia" w:eastAsiaTheme="majorEastAsia" w:cstheme="majorEastAsia"/>
          <w:color w:val="auto"/>
          <w:sz w:val="32"/>
          <w:szCs w:val="32"/>
          <w:lang w:val="zh-CN"/>
        </w:rPr>
        <w:t>：</w:t>
      </w:r>
      <w:r>
        <w:rPr>
          <w:rFonts w:hint="eastAsia" w:ascii="仿宋" w:hAnsi="仿宋" w:eastAsia="仿宋" w:cs="仿宋"/>
          <w:color w:val="auto"/>
          <w:sz w:val="32"/>
          <w:szCs w:val="32"/>
          <w:lang w:val="zh-CN"/>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3D008FB4">
      <w:pPr>
        <w:spacing w:before="100" w:beforeLines="0" w:after="100" w:afterLines="0"/>
        <w:jc w:val="left"/>
        <w:rPr>
          <w:rFonts w:hint="eastAsia" w:ascii="仿宋" w:hAnsi="仿宋" w:eastAsia="仿宋" w:cs="仿宋"/>
          <w:color w:val="auto"/>
          <w:sz w:val="32"/>
          <w:szCs w:val="32"/>
        </w:rPr>
      </w:pPr>
      <w:r>
        <w:rPr>
          <w:rFonts w:hint="eastAsia" w:asciiTheme="majorEastAsia" w:hAnsiTheme="majorEastAsia" w:eastAsiaTheme="majorEastAsia" w:cstheme="majorEastAsia"/>
          <w:b/>
          <w:color w:val="auto"/>
          <w:sz w:val="32"/>
          <w:szCs w:val="32"/>
          <w:lang w:val="zh-CN"/>
        </w:rPr>
        <w:t>十二、机关运行经费</w:t>
      </w:r>
      <w:r>
        <w:rPr>
          <w:rFonts w:hint="eastAsia" w:asciiTheme="majorEastAsia" w:hAnsiTheme="majorEastAsia" w:eastAsiaTheme="majorEastAsia" w:cstheme="majorEastAsia"/>
          <w:color w:val="auto"/>
          <w:sz w:val="32"/>
          <w:szCs w:val="32"/>
          <w:lang w:val="zh-CN"/>
        </w:rPr>
        <w:t>：</w:t>
      </w:r>
      <w:r>
        <w:rPr>
          <w:rFonts w:hint="eastAsia" w:ascii="仿宋" w:hAnsi="仿宋" w:eastAsia="仿宋" w:cs="仿宋"/>
          <w:color w:val="auto"/>
          <w:sz w:val="32"/>
          <w:szCs w:val="32"/>
          <w:lang w:val="zh-CN"/>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sectPr>
      <w:pgSz w:w="12240" w:h="15840"/>
      <w:pgMar w:top="1440" w:right="1800" w:bottom="1440" w:left="1800" w:header="720" w:footer="720"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7CFF59"/>
    <w:multiLevelType w:val="singleLevel"/>
    <w:tmpl w:val="BE7CFF59"/>
    <w:lvl w:ilvl="0" w:tentative="0">
      <w:start w:val="1"/>
      <w:numFmt w:val="decimal"/>
      <w:suff w:val="nothing"/>
      <w:lvlText w:val="%1、"/>
      <w:lvlJc w:val="left"/>
    </w:lvl>
  </w:abstractNum>
  <w:abstractNum w:abstractNumId="1">
    <w:nsid w:val="7959DCD3"/>
    <w:multiLevelType w:val="singleLevel"/>
    <w:tmpl w:val="7959DCD3"/>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2OWIxNjdjMDlkOTg0ZDllNGUwMjk5YTFjODJiM2YifQ=="/>
  </w:docVars>
  <w:rsids>
    <w:rsidRoot w:val="00000000"/>
    <w:rsid w:val="08AC77CB"/>
    <w:rsid w:val="0C0A1AE3"/>
    <w:rsid w:val="0C5C582F"/>
    <w:rsid w:val="0E421F9C"/>
    <w:rsid w:val="411B0D94"/>
    <w:rsid w:val="49E31575"/>
    <w:rsid w:val="5B840C0A"/>
    <w:rsid w:val="5B8A1076"/>
    <w:rsid w:val="62D261FD"/>
    <w:rsid w:val="646C6652"/>
    <w:rsid w:val="6E24182E"/>
    <w:rsid w:val="728D10FE"/>
    <w:rsid w:val="77915538"/>
    <w:rsid w:val="792B663B"/>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pPr>
    <w:rPr>
      <w:rFonts w:eastAsia="宋体" w:asciiTheme="minorHAnsi" w:hAnsiTheme="minorHAnsi" w:cstheme="minorBidi"/>
      <w:kern w:val="2"/>
      <w:sz w:val="21"/>
    </w:rPr>
  </w:style>
  <w:style w:type="paragraph" w:styleId="2">
    <w:name w:val="heading 6"/>
    <w:basedOn w:val="1"/>
    <w:next w:val="1"/>
    <w:qFormat/>
    <w:uiPriority w:val="0"/>
    <w:pPr>
      <w:keepNext/>
      <w:keepLines/>
      <w:spacing w:before="240" w:beforeLines="0" w:beforeAutospacing="0" w:after="64" w:afterLines="0" w:afterAutospacing="0" w:line="317" w:lineRule="auto"/>
      <w:outlineLvl w:val="5"/>
    </w:pPr>
    <w:rPr>
      <w:rFonts w:ascii="Arial" w:hAnsi="Arial" w:eastAsia="黑体"/>
      <w:b/>
      <w:sz w:val="24"/>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w:basedOn w:val="1"/>
    <w:next w:val="1"/>
    <w:qFormat/>
    <w:uiPriority w:val="0"/>
    <w:pPr>
      <w:spacing w:after="120"/>
    </w:pPr>
  </w:style>
  <w:style w:type="paragraph" w:styleId="4">
    <w:name w:val="Plain Text"/>
    <w:basedOn w:val="1"/>
    <w:qFormat/>
    <w:uiPriority w:val="0"/>
    <w:pPr>
      <w:spacing w:line="360" w:lineRule="auto"/>
      <w:ind w:firstLine="640" w:firstLineChars="200"/>
    </w:pPr>
    <w:rPr>
      <w:rFonts w:ascii="宋体" w:hAnsi="Courier New"/>
    </w:r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unhideWhenUsed/>
    <w:qFormat/>
    <w:uiPriority w:val="99"/>
    <w:pPr>
      <w:widowControl/>
      <w:autoSpaceDE/>
      <w:autoSpaceDN/>
      <w:adjustRightInd/>
      <w:spacing w:before="100" w:beforeAutospacing="1" w:after="100" w:afterAutospacing="1"/>
    </w:pPr>
    <w:rPr>
      <w:rFonts w:ascii="宋体" w:hAnsi="宋体" w:eastAsia="宋体" w:cs="宋体"/>
    </w:rPr>
  </w:style>
  <w:style w:type="table" w:styleId="9">
    <w:name w:val="Table Grid"/>
    <w:basedOn w:val="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image" Target="media/image2.emf"/><Relationship Id="rId6" Type="http://schemas.openxmlformats.org/officeDocument/2006/relationships/oleObject" Target="embeddings/oleObject2.bin"/><Relationship Id="rId5" Type="http://schemas.openxmlformats.org/officeDocument/2006/relationships/image" Target="media/image1.e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9.xml"/><Relationship Id="rId16" Type="http://schemas.openxmlformats.org/officeDocument/2006/relationships/customXml" Target="../customXml/item8.xml"/><Relationship Id="rId15" Type="http://schemas.openxmlformats.org/officeDocument/2006/relationships/customXml" Target="../customXml/item7.xml"/><Relationship Id="rId14" Type="http://schemas.openxmlformats.org/officeDocument/2006/relationships/customXml" Target="../customXml/item6.xml"/><Relationship Id="rId13" Type="http://schemas.openxmlformats.org/officeDocument/2006/relationships/customXml" Target="../customXml/item5.xml"/><Relationship Id="rId12" Type="http://schemas.openxmlformats.org/officeDocument/2006/relationships/customXml" Target="../customXml/item4.xml"/><Relationship Id="rId11" Type="http://schemas.openxmlformats.org/officeDocument/2006/relationships/customXml" Target="../customXml/item3.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http://schemas.openxmlformats.org/officeDocument/2006/extended-properties" xmlns:vt="http://schemas.openxmlformats.org/officeDocument/2006/docPropsVTypes">
  <Template>Normal.dotm</Template>
  <Pages>12</Pages>
  <Words>6392</Words>
  <Characters>13548</Characters>
  <Lines>0</Lines>
  <Paragraphs>0</Paragraphs>
  <TotalTime>9</TotalTime>
  <ScaleCrop>false</ScaleCrop>
  <LinksUpToDate>false</LinksUpToDate>
  <CharactersWithSpaces>13626</CharactersWithSpaces>
  <Application>WPS Office_12.1.0.15120_F1E327BC-269C-435d-A152-05C5408002CA</Application>
  <DocSecurity>0</DocSecurity>
</Properties>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E06D266F13EA4024808CEEADBAD91186_11</vt:lpwstr>
  </property>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2023-07-20T03:33:00Z</dcterms:created>
  <dc:creator>O.L.Problem without you</dc:creator>
  <cp:lastModifiedBy>O.L.Problem without you</cp:lastModifiedBy>
  <dcterms:modified xsi:type="dcterms:W3CDTF">2023-08-02T07:30:07Z</dcterms:modified>
  <cp:revision>1</cp:revision>
</cp:coreProperties>
</file>

<file path=customXml/item4.xml><?xml version="1.0" encoding="utf-8"?>
<Properties xmlns="http://schemas.openxmlformats.org/officeDocument/2006/extended-properties" xmlns:vt="http://schemas.openxmlformats.org/officeDocument/2006/docPropsVTypes">
  <Template>Normal.dotm</Template>
  <Pages>12</Pages>
  <Words>6392</Words>
  <Characters>13548</Characters>
  <Lines>0</Lines>
  <Paragraphs>0</Paragraphs>
  <TotalTime>9</TotalTime>
  <ScaleCrop>false</ScaleCrop>
  <LinksUpToDate>false</LinksUpToDate>
  <CharactersWithSpaces>13626</CharactersWithSpaces>
  <Application>WPS Office_12.1.0.15120_F1E327BC-269C-435d-A152-05C5408002CA</Application>
  <DocSecurity>0</DocSecurity>
</Properties>
</file>

<file path=customXml/item5.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E06D266F13EA4024808CEEADBAD91186_11</vt:lpwstr>
  </property>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dc:creator>O.L.Problem without you</dc:creator>
  <cp:lastModifiedBy>O.L.Problem without you</cp:lastModifiedBy>
  <cp:revision>1</cp:revision>
  <dcterms:created xsi:type="dcterms:W3CDTF">2023-07-20T03:33:00Z</dcterms:created>
  <dcterms:modified xsi:type="dcterms:W3CDTF">2023-08-02T07:30:07Z</dcterms:modified>
</cp:coreProperties>
</file>

<file path=customXml/item7.xml><?xml version="1.0" encoding="utf-8"?>
<Properties xmlns:vt="http://schemas.openxmlformats.org/officeDocument/2006/docPropsVTypes" xmlns="http://schemas.openxmlformats.org/officeDocument/2006/extended-properties">
  <Template>Normal.dotm</Template>
  <TotalTime>9</TotalTime>
  <Pages>12</Pages>
  <Words>6392</Words>
  <Characters>13548</Characters>
  <Application>WPS Office_12.1.0.15120_F1E327BC-269C-435d-A152-05C5408002CA</Application>
  <DocSecurity>0</DocSecurity>
  <Lines>0</Lines>
  <Paragraphs>0</Paragraphs>
  <CharactersWithSpaces>13626</CharactersWithSpaces>
  <AppVersion>14.0000</AppVersion>
</Properties>
</file>

<file path=customXml/item8.xml><?xml version="1.0" encoding="utf-8"?>
<Properties xmlns:vt="http://schemas.openxmlformats.org/officeDocument/2006/docPropsVTypes" xmlns="http://schemas.openxmlformats.org/officeDocument/2006/custom-properties">
  <property fmtid="{D5CDD505-2E9C-101B-9397-08002B2CF9AE}" pid="2" name="KSOProductBuildVer">
    <vt:lpstr>2052-12.1.0.15120</vt:lpstr>
  </property>
  <property fmtid="{D5CDD505-2E9C-101B-9397-08002B2CF9AE}" pid="3" name="ICV">
    <vt:lpstr>E06D266F13EA4024808CEEADBAD91186_11</vt:lpstr>
  </property>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2023-07-20T03:33:00Z</dcterms:created>
  <dc:creator>O.L.Problem without you</dc:creator>
  <cp:lastModifiedBy>O.L.Problem without you</cp:lastModifiedBy>
  <dcterms:modified xsi:type="dcterms:W3CDTF">2023-08-02T07:30:07Z</dcterms:modified>
  <cp:revision>1</cp:revision>
</cp:coreProperties>
</file>

<file path=customXml/itemProps1.xml><?xml version="1.0" encoding="utf-8"?>
<ds:datastoreItem xmlns:ds="http://schemas.openxmlformats.org/officeDocument/2006/customXml" ds:itemID="{69903fbc-229b-4545-9aed-21b349f2c8b7}">
  <ds:schemaRefs/>
</ds:datastoreItem>
</file>

<file path=customXml/itemProps2.xml><?xml version="1.0" encoding="utf-8"?>
<ds:datastoreItem xmlns:ds="http://schemas.openxmlformats.org/officeDocument/2006/customXml" ds:itemID="{3af42541-97f6-49c7-815b-88d3f9df8cb2}">
  <ds:schemaRefs/>
</ds:datastoreItem>
</file>

<file path=customXml/itemProps3.xml><?xml version="1.0" encoding="utf-8"?>
<ds:datastoreItem xmlns:ds="http://schemas.openxmlformats.org/officeDocument/2006/customXml" ds:itemID="{a3bacef7-b2f7-46e8-8c1f-a74330b4a4bf}">
  <ds:schemaRefs/>
</ds:datastoreItem>
</file>

<file path=customXml/itemProps4.xml><?xml version="1.0" encoding="utf-8"?>
<ds:datastoreItem xmlns:ds="http://schemas.openxmlformats.org/officeDocument/2006/customXml" ds:itemID="{e727df8e-5f8f-4948-8c19-1762f2833eec}">
  <ds:schemaRefs/>
</ds:datastoreItem>
</file>

<file path=customXml/itemProps5.xml><?xml version="1.0" encoding="utf-8"?>
<ds:datastoreItem xmlns:ds="http://schemas.openxmlformats.org/officeDocument/2006/customXml" ds:itemID="{3eaccd74-8d1d-4442-a96a-0e169c329744}">
  <ds:schemaRefs/>
</ds:datastoreItem>
</file>

<file path=customXml/itemProps6.xml><?xml version="1.0" encoding="utf-8"?>
<ds:datastoreItem xmlns:ds="http://schemas.openxmlformats.org/officeDocument/2006/customXml" ds:itemID="{9dd1b32b-5a11-4902-a3db-070dbc939001}">
  <ds:schemaRefs/>
</ds:datastoreItem>
</file>

<file path=customXml/itemProps7.xml><?xml version="1.0" encoding="utf-8"?>
<ds:datastoreItem xmlns:ds="http://schemas.openxmlformats.org/officeDocument/2006/customXml" ds:itemID="{8ffca867-d5a5-4776-8fad-f97b22647a14}">
  <ds:schemaRefs/>
</ds:datastoreItem>
</file>

<file path=customXml/itemProps8.xml><?xml version="1.0" encoding="utf-8"?>
<ds:datastoreItem xmlns:ds="http://schemas.openxmlformats.org/officeDocument/2006/customXml" ds:itemID="{9da4016b-ba58-4527-9ae2-a520394cd930}">
  <ds:schemaRefs/>
</ds:datastoreItem>
</file>

<file path=customXml/itemProps9.xml><?xml version="1.0" encoding="utf-8"?>
<ds:datastoreItem xmlns:ds="http://schemas.openxmlformats.org/officeDocument/2006/customXml" ds:itemID="{2270d008-90e4-4106-916c-99104c71593e}">
  <ds:schemaRefs/>
</ds:datastoreItem>
</file>

<file path=docProps/app.xml><?xml version="1.0" encoding="utf-8"?>
<Properties xmlns="http://schemas.openxmlformats.org/officeDocument/2006/extended-properties" xmlns:vt="http://schemas.openxmlformats.org/officeDocument/2006/docPropsVTypes">
  <Template>Normal.dotm</Template>
  <Pages>26</Pages>
  <Words>9092</Words>
  <Characters>9581</Characters>
  <Lines>0</Lines>
  <Paragraphs>0</Paragraphs>
  <TotalTime>4</TotalTime>
  <ScaleCrop>false</ScaleCrop>
  <LinksUpToDate>false</LinksUpToDate>
  <CharactersWithSpaces>9587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2023-07-20T03:33:00Z</dcterms:created>
  <dc:creator>O.L.Problem without you</dc:creator>
  <cp:lastModifiedBy>Administrator</cp:lastModifiedBy>
  <dcterms:modified xsi:type="dcterms:W3CDTF">2025-05-13T06:54:19Z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462CC84E287E48BF90CD9E3AD57BE171</vt:lpwstr>
  </property>
  <property fmtid="{D5CDD505-2E9C-101B-9397-08002B2CF9AE}" pid="4" name="KSOTemplateDocerSaveRecord">
    <vt:lpwstr>eyJoZGlkIjoiMGNkYWFkMjQ5ZTcwNDZiOWI1MTc1MmQ4OWVmZDE2MmMifQ==</vt:lpwstr>
  </property>
</Properties>
</file>